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SAROLTA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sachajduj@gmail.com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 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 regionális gyöngybagoly (Tyto alba) populáció táplálkozásának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gyöngybagoly, táplálék-összetétel, biomassza, relatív fontossági index, niche metrikák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gyöngybagoly (Tyto alba) ragadozómadár fő táplálékbázisát éjszakai aktivitású, terresztris kisemlősök képezik, amelyeket azok egyedsűrűségének függvényében fogyaszt. Közép-Európában a legfőbb zsákmányt a mezei pocok (Microtus arvalis), melynek elérhetősége és fluktuációja szignifikánsan meghatározza a táplálékforrások kihasználását, ezáltal a baglyok niche paramétereit. A relatív fontossági index (IRI) használata ragadozómadarak táplálkozásának értékelésére viszonylag újkeletű a hagyományos táplálkozás-ökológiai paraméterek alkalmazásához képest.</w:t>
      </w:r>
      <w:r>
        <w:rPr>
          <w:color w:val="000000"/>
          <w:sz w:val="24"/>
          <w:szCs w:val="24"/>
        </w:rPr>
        <w:br/>
        <w:t xml:space="preserve">Jelen dolgozat az IRI gyöngybagoly táplálkozás-ökológiai vizsgálatokban történő alkalmazhatóságát vizsgálta, három régió (Duna-Dráva, Fertő-Hanság, Őrség) három évben (2020-2022) gyűjtött köpetmintákból kapott adatokból. A gyöngybagoly táplálék-összetételének különbözőségét többváltozós permutációs varianciaanalízis (PERMANOVA), valamint főkomponens analízis (PCA) alkalmazásával teszteltük. A trofikus niche szélességet a Levin’s-index alapján számítottuk. Az egyes régiókban költő populációk specializáltságának mértékéhez kiszámítottuk a WIC (within individual component) és TNW (total niche width) hányadosát, majd a régiók gyöngybagoly állományának táplálék-összetétele közötti niche átfedést a Renkonen index számításával határoztuk meg.</w:t>
      </w:r>
      <w:r>
        <w:rPr>
          <w:color w:val="000000"/>
          <w:sz w:val="24"/>
          <w:szCs w:val="24"/>
        </w:rPr>
        <w:br/>
        <w:t xml:space="preserve">Eredményeink megerősítették, hogy az IRI markánsan kiemeli a fontosabb zsákmánytaxonokat, ezáltal egyértelműbb eredményt szolgáltat. Az egyes prédafajok közötti alternatív kapcsolatot is jól szemlélteti és a zsákmánykínálatban végbemenő változásokról is tisztább képet ad. A fő zsákmányfaj a mezei pocok volt a Duna-Dráva és az Őrség területén, míg a Fertő-Hanság vonatkozásában a mezei pocok és az erdei cickány hasonlóan fontos préda volt. Továbbá a gyöngybaglyok eltérő alternatív zsákmánytaxonokkal kompenzálhatják fő préda hiányát, ami az adott régió csapadékosságától is függ. Jellemző alternatív zsákmánytaxonok a különböző erdeiegér (Apodemus) fajok, valamint a cickányfélék (Sorex és Crocidura fajok). Az Apodemus és Crocidura fajok inkább a szárazabb régiókban (ilyen a Duna-Dráva), a Sorex fajok pedig inkább a nedvesebb élőhelyeken, például a Fertő-Hanságban jellemzőek. Az Őrség ilyen szempontból átmenetet képez, ahol az éppen aktuális periódus nedvessége határozza meg az alternatív zsákmány megválasztását. A Duna-Dráva régióban a baglyok táplálkozása generalistább volt, mint a másik két régióban.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53995">
    <w:multiLevelType w:val="hybridMultilevel"/>
    <w:lvl w:ilvl="0" w:tplc="60057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53995">
    <w:abstractNumId w:val="341539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340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