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GANJI SAYYEDARMIN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arminganji01@gmail.com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Prókai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Vadász Kitty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kognitív felkészítés hatása különböző kognitív és motoros képességekre fiatal labdarugó játékosoknál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cognitive; visual; auditory; football; warm-up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study to investigate the short-term effects of integrated motor-cognitive</w:t>
      </w:r>
      <w:r>
        <w:rPr>
          <w:color w:val="000000"/>
          <w:sz w:val="24"/>
          <w:szCs w:val="24"/>
        </w:rPr>
        <w:br/>
        <w:t xml:space="preserve">warm-up tasks using verbal and visual stimuli on different football-specific skills in youth male</w:t>
      </w:r>
      <w:r>
        <w:rPr>
          <w:color w:val="000000"/>
          <w:sz w:val="24"/>
          <w:szCs w:val="24"/>
        </w:rPr>
        <w:br/>
        <w:t xml:space="preserve">football players.</w:t>
      </w:r>
      <w:r>
        <w:rPr>
          <w:color w:val="000000"/>
          <w:sz w:val="24"/>
          <w:szCs w:val="24"/>
        </w:rPr>
        <w:br/>
        <w:t xml:space="preserve">Twenty-four male (n=24) football players (age = 8.0±0.0 years, weight = 30.08 ± 4.76 kg,</w:t>
      </w:r>
      <w:r>
        <w:rPr>
          <w:color w:val="000000"/>
          <w:sz w:val="24"/>
          <w:szCs w:val="24"/>
        </w:rPr>
        <w:br/>
        <w:t xml:space="preserve">height = 133.10 ± 4.66 cm, BMI = 16.85 ± 1.77) were recruited and randomly divided into three</w:t>
      </w:r>
      <w:r>
        <w:rPr>
          <w:color w:val="000000"/>
          <w:sz w:val="24"/>
          <w:szCs w:val="24"/>
        </w:rPr>
        <w:br/>
        <w:t xml:space="preserve">groups: motor-verbal (MVEG), motor-visual (MVIG), and motor group (MG). The warm-up</w:t>
      </w:r>
      <w:r>
        <w:rPr>
          <w:color w:val="000000"/>
          <w:sz w:val="24"/>
          <w:szCs w:val="24"/>
        </w:rPr>
        <w:br/>
        <w:t xml:space="preserve">protocol was designed based on football-specific skills. While the tasks were identical across the</w:t>
      </w:r>
      <w:r>
        <w:rPr>
          <w:color w:val="000000"/>
          <w:sz w:val="24"/>
          <w:szCs w:val="24"/>
        </w:rPr>
        <w:br/>
        <w:t xml:space="preserve">groups, the source of information on how to execute them differed. MG received complete</w:t>
      </w:r>
      <w:r>
        <w:rPr>
          <w:color w:val="000000"/>
          <w:sz w:val="24"/>
          <w:szCs w:val="24"/>
        </w:rPr>
        <w:br/>
        <w:t xml:space="preserve">instructions about each task beforehand. In contrast, MVEG and MVIG received instructions on</w:t>
      </w:r>
      <w:r>
        <w:rPr>
          <w:color w:val="000000"/>
          <w:sz w:val="24"/>
          <w:szCs w:val="24"/>
        </w:rPr>
        <w:br/>
        <w:t xml:space="preserve">the order and sides of the runs, passes, and shoots only during the drills, which was auditory-based</w:t>
      </w:r>
      <w:r>
        <w:rPr>
          <w:color w:val="000000"/>
          <w:sz w:val="24"/>
          <w:szCs w:val="24"/>
        </w:rPr>
        <w:br/>
        <w:t xml:space="preserve">for MVEG and visual-based for MVIG. The effects of the different warm-up protocols were</w:t>
      </w:r>
      <w:r>
        <w:rPr>
          <w:color w:val="000000"/>
          <w:sz w:val="24"/>
          <w:szCs w:val="24"/>
        </w:rPr>
        <w:br/>
        <w:t xml:space="preserve">measured immediately by the Stroop color-word -, Loughborough soccer passing -, Illinois ball</w:t>
      </w:r>
      <w:r>
        <w:rPr>
          <w:color w:val="000000"/>
          <w:sz w:val="24"/>
          <w:szCs w:val="24"/>
        </w:rPr>
        <w:br/>
        <w:t xml:space="preserve">and T-test.</w:t>
      </w:r>
      <w:r>
        <w:rPr>
          <w:color w:val="000000"/>
          <w:sz w:val="24"/>
          <w:szCs w:val="24"/>
        </w:rPr>
        <w:br/>
        <w:t xml:space="preserve">We found significant differences between groups in Stroop color-word test error rate</w:t>
      </w:r>
      <w:r>
        <w:rPr>
          <w:color w:val="000000"/>
          <w:sz w:val="24"/>
          <w:szCs w:val="24"/>
        </w:rPr>
        <w:br/>
        <w:t xml:space="preserve">(p=0.009), Loughborough soccer passing test time (p=0.001), Illinois ball test time (p=0.036), and</w:t>
      </w:r>
      <w:r>
        <w:rPr>
          <w:color w:val="000000"/>
          <w:sz w:val="24"/>
          <w:szCs w:val="24"/>
        </w:rPr>
        <w:br/>
        <w:t xml:space="preserve">T-test time (p=0.003). There was no difference between groups in Stroop color-word test time and</w:t>
      </w:r>
      <w:r>
        <w:rPr>
          <w:color w:val="000000"/>
          <w:sz w:val="24"/>
          <w:szCs w:val="24"/>
        </w:rPr>
        <w:br/>
        <w:t xml:space="preserve">Illinois ball test error rate. In Stroop color-word test time and error rate, Illinois ball test time and</w:t>
      </w:r>
      <w:r>
        <w:rPr>
          <w:color w:val="000000"/>
          <w:sz w:val="24"/>
          <w:szCs w:val="24"/>
        </w:rPr>
        <w:br/>
        <w:t xml:space="preserve">number of failures and T-test time the MVEG group proved to be the best, whereas the MVIG</w:t>
      </w:r>
      <w:r>
        <w:rPr>
          <w:color w:val="000000"/>
          <w:sz w:val="24"/>
          <w:szCs w:val="24"/>
        </w:rPr>
        <w:br/>
        <w:t xml:space="preserve">group also had better performances compared to MG, except T-test, where MG was the second</w:t>
      </w:r>
      <w:r>
        <w:rPr>
          <w:color w:val="000000"/>
          <w:sz w:val="24"/>
          <w:szCs w:val="24"/>
        </w:rPr>
        <w:br/>
        <w:t xml:space="preserve">fastest. The MVIG had the fastest time result in the Loughborough soccer passing test followed by</w:t>
      </w:r>
      <w:r>
        <w:rPr>
          <w:color w:val="000000"/>
          <w:sz w:val="24"/>
          <w:szCs w:val="24"/>
        </w:rPr>
        <w:br/>
        <w:t xml:space="preserve">MVEG.</w:t>
      </w:r>
      <w:r>
        <w:rPr>
          <w:color w:val="000000"/>
          <w:sz w:val="24"/>
          <w:szCs w:val="24"/>
        </w:rPr>
        <w:br/>
        <w:t xml:space="preserve">These findings suggest that integrating cognitive stimuli into motor tasks can enhance</w:t>
      </w:r>
      <w:r>
        <w:rPr>
          <w:color w:val="000000"/>
          <w:sz w:val="24"/>
          <w:szCs w:val="24"/>
        </w:rPr>
        <w:br/>
        <w:t xml:space="preserve">immediate motor and cognitive performance. Depending on the training objective, different types</w:t>
      </w:r>
      <w:r>
        <w:rPr>
          <w:color w:val="000000"/>
          <w:sz w:val="24"/>
          <w:szCs w:val="24"/>
        </w:rPr>
        <w:br/>
        <w:t xml:space="preserve">of warm-ups can be beneficial, as both had positive effects on our study's participants. For</w:t>
      </w:r>
      <w:r>
        <w:rPr>
          <w:color w:val="000000"/>
          <w:sz w:val="24"/>
          <w:szCs w:val="24"/>
        </w:rPr>
        <w:br/>
        <w:t xml:space="preserve">example, incorporating visual-based motor-cognitive tasks in the pre-training warm-up can</w:t>
      </w:r>
      <w:r>
        <w:rPr>
          <w:color w:val="000000"/>
          <w:sz w:val="24"/>
          <w:szCs w:val="24"/>
        </w:rPr>
        <w:br/>
        <w:t xml:space="preserve">enhance passing and awareness, while auditory-based motor-cognitive warm-ups are more suitable</w:t>
      </w:r>
      <w:r>
        <w:rPr>
          <w:color w:val="000000"/>
          <w:sz w:val="24"/>
          <w:szCs w:val="24"/>
        </w:rPr>
        <w:br/>
        <w:t xml:space="preserve">for improving dribbling and agility. This study highlights the potential of tailored cognitive-motor</w:t>
      </w:r>
      <w:r>
        <w:rPr>
          <w:color w:val="000000"/>
          <w:sz w:val="24"/>
          <w:szCs w:val="24"/>
        </w:rPr>
        <w:br/>
        <w:t xml:space="preserve">warm-ups to enhance youth football performance. Further research is recommended to explore</w:t>
      </w:r>
      <w:r>
        <w:rPr>
          <w:color w:val="000000"/>
          <w:sz w:val="24"/>
          <w:szCs w:val="24"/>
        </w:rPr>
        <w:br/>
        <w:t xml:space="preserve">long-term effects, gender differences, and applications in diverse age groups and sports contexts.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68806">
    <w:multiLevelType w:val="hybridMultilevel"/>
    <w:lvl w:ilvl="0" w:tplc="31246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68806">
    <w:abstractNumId w:val="22468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013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