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HEGYFALVI</w:t>
            </w:r>
          </w:p>
          <w:p w:rsidR="00C275A3" w:rsidRDefault="00A96AEC" w:rsidP="00C275A3">
            <w:pPr>
              <w:pStyle w:val="Hallgatokepzes"/>
            </w:pPr>
            <w:r>
              <w:t>Energy Engineering Msc</w:t>
            </w:r>
            <w:r>
              <w:br/>
            </w:r>
            <w:r w:rsidR="00E77B23">
              <w:t>MSc, 9.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Ivan Gacs</w:t>
            </w:r>
          </w:p>
          <w:p w:rsidR="00DB4822" w:rsidRDefault="00DB4822" w:rsidP="00E11062">
            <w:pPr>
              <w:pStyle w:val="Konzulensek"/>
            </w:pPr>
            <w:r w:rsidRPr="00DB4822">
              <w:t>associate professor, BME GÉK</w:t>
            </w:r>
          </w:p>
        </w:tc>
      </w:tr>
      <w:tr w:rsidR="00DB4822" w:rsidTr="00DB4822">
        <w:tc>
          <w:tcPr>
            <w:tcW w:w="9854" w:type="dxa"/>
          </w:tcPr>
          <w:p w:rsidR="00DB4822" w:rsidRPr="00DB4822" w:rsidRDefault="00DB4822" w:rsidP="004D7940">
            <w:pPr>
              <w:pStyle w:val="Konzulensek"/>
            </w:pPr>
            <w:r w:rsidRPr="00DB4822">
              <w:t>Tibor Orban</w:t>
            </w:r>
          </w:p>
          <w:p w:rsidR="00DB4822" w:rsidRDefault="00DB4822" w:rsidP="00E11062">
            <w:pPr>
              <w:pStyle w:val="Konzulensek"/>
            </w:pPr>
            <w:r w:rsidRPr="00DB4822">
              <w:t>chief technology officer,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Landfill gas utilization possibilities in the PusztazámoriWaste Treatment Facility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last century the growth of the industry and the economy of the world reached unprecedented heights. These phenomena implied the growth of energy demand, too, that was satisfied by using fossil fuels. So nowadays, the problem of the country's dependence on energy imports is significant, which drew attention to the gas crisis in January, 2009. In Hungary, this question is even more superior too, because gas exceeds 40% in the primary energy balance. There are more ways of reducing, but the European Union, namely the European Parliament and the Council seek the solution by using the renewable energy sources and cogeneration systems. Of course, a lot of alternatives arise, but perhaps one of the greatest opportunities is the utilization of landfill gas. Naturally the environmental and climate protection related issues must also be taken into consideration.</w:t>
      </w:r>
    </w:p>
    <w:p>
      <w:pPr>
        <w:pBdr/>
        <w:spacing w:before="240" w:after="240" w:line="240" w:lineRule="auto"/>
        <w:ind w:left="0" w:right="0"/>
        <w:jc w:val="left"/>
      </w:pPr>
      <w:r>
        <w:rPr>
          <w:color w:val="000000"/>
          <w:sz w:val="24"/>
          <w:szCs w:val="24"/>
        </w:rPr>
        <w:t xml:space="preserve">Pusztazámori Waste Treatment Facility began to build a part of the generated landfill gas extraction in the autumn of 2006. That means about 1000 m3/h capacity which disposed in a high-temperature torch. In this paper I examine the possibilities of recovering that quantity of landfill gas. There are two opportunities: first, it is obvious to install a gas engine, but secondly we could also take into account the installation of biogas treatment plant.</w:t>
      </w:r>
    </w:p>
    <w:p>
      <w:pPr>
        <w:pBdr/>
        <w:spacing w:before="240" w:after="240" w:line="240" w:lineRule="auto"/>
        <w:ind w:left="0" w:right="0"/>
        <w:jc w:val="left"/>
      </w:pPr>
      <w:r>
        <w:rPr>
          <w:color w:val="000000"/>
          <w:sz w:val="24"/>
          <w:szCs w:val="24"/>
        </w:rPr>
        <w:t xml:space="preserve">Within the confines of this work these two ways are discussed in detail. The individual properties of the investigated facility are also described.</w:t>
      </w:r>
    </w:p>
    <w:p>
      <w:pPr>
        <w:pBdr/>
        <w:spacing w:before="240" w:after="240" w:line="240" w:lineRule="auto"/>
        <w:ind w:left="0" w:right="0"/>
        <w:jc w:val="left"/>
      </w:pPr>
      <w:r>
        <w:rPr>
          <w:color w:val="000000"/>
          <w:sz w:val="24"/>
          <w:szCs w:val="24"/>
        </w:rPr>
        <w:t xml:space="preserve">Both versions are installed in addition to the technical aspects of the environment, and to be devoted to economic aspects. Therefore, the investment cost and the annual expenditure occurring after collecting the project's 15-year horizon, cost-oriented business plan (sensitivity analysis), taking into account the various price indices and changes in the existing legislation.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53582">
    <w:multiLevelType w:val="hybridMultilevel"/>
    <w:lvl w:ilvl="0" w:tplc="62802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53582">
    <w:abstractNumId w:val="885535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24857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