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PAUSZ BÉLA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pausz1988@gmail.com</w:t>
            </w:r>
            <w:r w:rsidRPr="001067CD">
              <w:rPr>
                <w:i/>
              </w:rPr>
              <w:br/>
            </w:r>
            <w:r w:rsidR="00A96AEC">
              <w:t>Sportszervezés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Urbinné dr. Borbély Szilvia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NYE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Oláh Dávid</w:t>
            </w:r>
          </w:p>
          <w:p w:rsidR="00DB4822" w:rsidRDefault="00DB4822" w:rsidP="00BA6BAF">
            <w:pPr>
              <w:pStyle w:val="Konzulensektitulus"/>
            </w:pPr>
            <w:r w:rsidRPr="00DB4822">
              <w:t>MLSZ Klubfejlesztési Osztály Szakmai Vezető,  Magyar Labdarúgó Szövetség Klubfejlesztési Osztály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Átigazolási trendek a magyar utánpótláskorú labdarúgóknál, a 2017-2024. közötti szezonban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Magyar Labdarúgó Szövetség, Átigazolás, Utánpótlás Labdarúgás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 magyar utánpótlás korú labdarúgók átigazolási trendjeit vizsgálja a 2017 és 2024 közötti időszakban, különös figyelmet fordítva az U7-U19 korosztályokra. Az átigazolási trendek vizsgálata a magyar utánpótlás korú labdarúgók körében kulcsfontosságú betekintést nyújt a sportgazdasági és sporttudományi folyamatokba, hiszen a sportban történő átigazolások közgazdasági, társadalmi és pedagógiai dimenziói szoros összefüggésben állnak a tehetségmenedzsmenttel, a sportolói karrierutak megtervezésével, valamint a klubrendszerek működésének hatékonyságával. Ennek kvantitatív vizsgálatához a Magyar Labdarúgó Szövetség (MLSZ) Integrált Futball Alkalmazásából (IFA) nyert adatokkal dolgoztam, összesen 105064 db átigazolási eseményt vizsgáltam. Az eredmények szerint Budapest dominanciája egyértelmű az átigazolási piacon, míg vidéken Borsod-Abaúj-Zemplén és Győr-Moson-Sopron vármegyék mutatnak kiemelkedő aktivitást. A statisztikai elemzéseim rámutattak arra, hogy a lakosságszám és a gazdasági erő (GDP) erős pozitív kapcsolatot mutat az átigazolások számával (r=0,968, p&lt;0,001). Ez azt jelzi, hogy a gazdaságilag erősebb és nagyobb népességű régiók vonzóbbak a játékosok és sportszervezetek számára (Hoffman, 2017; Szabados et al., 2021). A 2021-ben bevezetett egyesületi piramisrendszer ösztönözte a felfelé irányuló átigazolásokat, amely a tehetségek magasabb szintekre történő hatékony áramlását segíti (MLSZ, 2020). A COVID-19 világjárvány azonban jelentős csökkenést eredményezett az átigazolások számában, különösen a 2020/2021-es szezonban (Gősi et al., 2022).</w:t>
      </w:r>
      <w:r>
        <w:rPr>
          <w:color w:val="000000"/>
          <w:sz w:val="24"/>
          <w:szCs w:val="24"/>
        </w:rPr>
        <w:br/>
        <w:t xml:space="preserve">A kutatásom kiemeli a regionális különbségeket, amelyek a gazdasági fejlettséghez és az infrastrukturális különbségekhez köthetők (Kárász, 2016). Ezáltal megállapítható, hogy a gazdasági erőforrások hatékonyabb elosztása, a kisebb régiók támogatása és a tehetséggondozási rendszerek fejlesztése kulcsfontosságú a magyar labdarúgás utánpótlásának hosszú távú fenntarthatóságában.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597486">
    <w:multiLevelType w:val="hybridMultilevel"/>
    <w:lvl w:ilvl="0" w:tplc="361919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597486">
    <w:abstractNumId w:val="295974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45159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