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MIKLÓS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miklostoth2020@gmail.com</w:t>
            </w:r>
            <w:r w:rsidRPr="001067CD">
              <w:rPr>
                <w:i/>
              </w:rPr>
              <w:br/>
            </w:r>
            <w:r w:rsidR="00A96AEC">
              <w:t>magyar-történelem osztatlan tanárképzés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Gulyás László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Luxemburgi Zsigmond birtokadományai és a mezővárosok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mezőváros; Luxemburgi Zsigmond; birtokadomány; városfejlődés; középkori magyar történelem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Luxemburgi Zsigmond birtokadományai és a mezővárosok</w:t>
      </w:r>
      <w:r>
        <w:rPr>
          <w:color w:val="000000"/>
          <w:sz w:val="24"/>
          <w:szCs w:val="24"/>
        </w:rPr>
        <w:br/>
        <w:t xml:space="preserve">A hazai városfejlődésben meghatározó volt Luxemburgi Zsigmond uralkodása, amely egyben korszakhatárként is kezelhető a városhálózat vizsgálatakor. A király számos esetben adományozott el olyan településeket, amelyek elindultak a várossá válás útján, nem is beszélve a gazdasági súlyukról, azonban az uralomváltás után ez a fejlődés lelassult míg a felemelkedés lehetetlenné vált. Az elidegenítés következtében magánkézbe került települések többsége olyan mezőváros volt, amely, már a 14. század második felében rendelkezett bizonyos városi funkciókkal. Kikerülve a király kezéből, a földesúri joghatóság alatt ezen helységek megrekedtek az oppidum-ok szintjén.</w:t>
      </w:r>
      <w:r>
        <w:rPr>
          <w:color w:val="000000"/>
          <w:sz w:val="24"/>
          <w:szCs w:val="24"/>
        </w:rPr>
        <w:br/>
        <w:t xml:space="preserve">Kutatásomban elsősorban azt vizsgáltam, hogy a Luxemburgi Zsigmond által eladományozott mezővárosok fejlődésében milyen szerepet játszott az uralomváltás. Az egyes települések esetében a rájuk alkalmazott különböző jogi terminológiák – libera villa, possessio, oppidum, civitas seu oppidum, civitas – változását is összegyűjtöttem. Amennyiben a mezővárosok kialakulásának folyamatát vizsgáljuk az oppidum elnevezés megjelenését elsődleges adatként kezelhetjük. A fentiek okán feltételezhető, hogy az adománybirtokokra alkalmazott jogi terminológia változása összefüggésben állhat a birtokos személyének változásával, amely a település fejlődésére is hatást gyakorolt.</w:t>
      </w:r>
      <w:r>
        <w:rPr>
          <w:color w:val="000000"/>
          <w:sz w:val="24"/>
          <w:szCs w:val="24"/>
        </w:rPr>
        <w:br/>
        <w:t xml:space="preserve">Az általam vizsgált települések történetében meghatározó jelentőségű volt az eladományozás pillanata. Noha fejlettségüket tekintve legtöbbjük már a 14. század második felében rendelkezett bizonyos városi funkciókkal, számos település csupán fejlődésének kezdetén járt. Az uralomváltással kikerülve a király kezéből sorsukról elsődlegesen új földesuruk döntött, akinek ugyan érdekében állt birtokának felvirágoztatása azonban mindezt hatalmának elismertetése mellett kívánta elérni. A megváltozott keretrendszer emiatt eredményezhetett szembenállást földesúr és jobbágya között. Néhány mezőváros feltehetően tiltakozott a király döntése ellen, hiszen Zsigmondnak parancslevelében kellett engedelmességre utasítania Segesd és Halas lakosait is. Ugyanakkor, mint azt láthattuk a földesúr birtokszerzését követően igen gyakran ad kiváltságlevelet újonnan adományul nyert mezővárosának feltételezhetően a település lakosainak a kérésére. A Zsigmond-korban eladományozott városias funkciókkal rendelkező települések a földesúri joghatóság alatt beolvadtak a korszak település hierarchiájába a mezővárosok közzé.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343449">
    <w:multiLevelType w:val="hybridMultilevel"/>
    <w:lvl w:ilvl="0" w:tplc="83499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343449">
    <w:abstractNumId w:val="373434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86184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