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h.csaba036@gmail.com</w:t>
            </w:r>
            <w:r w:rsidRPr="001067CD">
              <w:rPr>
                <w:i/>
              </w:rPr>
              <w:br/>
            </w:r>
            <w:r w:rsidR="00A96AEC">
              <w:t>Matematika-Testnevelő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Heszteráné Dr Ekler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mozgás-és a kognitív képességfejlesztés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mozgás; kognitív képesség; motiváció; munkamemória; élményalapú pedagógia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</w:t>
      </w:r>
      <w:r>
        <w:rPr>
          <w:color w:val="000000"/>
          <w:sz w:val="24"/>
          <w:szCs w:val="24"/>
        </w:rPr>
        <w:br/>
        <w:t xml:space="preserve">Matematika-testnevelés tanár szakos hallgató lévén, a kutatásban arra törekedtünk, hogy különböző testnevelés órára adaptálható kognitív képességeket fejlesztő játékokat alkalmazva, párhuzamosan fejlesszük a vizsgált diákok motoros és kognitív képességeit. Ezek a játékok az együttműködésre, problémamegoldásra és logikus gondolkodásra ösztönözték a gyerekeket. Célunk volt, hogy adatokkal bizonyítsuk, hogy a testnevelés órán alkalmazott kognitív képességeket fejlesztő játékok javítják, fejlesztik a vizsgált diákok kognitív képességeit és testnevelés órai motivációját.</w:t>
      </w:r>
      <w:r>
        <w:rPr>
          <w:color w:val="000000"/>
          <w:sz w:val="24"/>
          <w:szCs w:val="24"/>
        </w:rPr>
        <w:br/>
        <w:t xml:space="preserve">Anyag és módszer:</w:t>
      </w:r>
      <w:r>
        <w:rPr>
          <w:color w:val="000000"/>
          <w:sz w:val="24"/>
          <w:szCs w:val="24"/>
        </w:rPr>
        <w:br/>
        <w:t xml:space="preserve">A kutatásban két harmadik és hetedik osztály (minta/ kontroll) vett részt. Az adatokat a bemeneti és a kimeneti méréskor a Kognitív Profil Teszt négy feladatával és a PMCSQ-2 teszttel gyűjtöttük, valamint számoltunk a matematika jegyekkel is. Az intervenciós szakaszban (4 hónap) a mintaosztályoknál együttműködésre, problémamegoldásra és logikus gondolkodásra ösztönző játékokat alkalmaztunk.</w:t>
      </w:r>
      <w:r>
        <w:rPr>
          <w:color w:val="000000"/>
          <w:sz w:val="24"/>
          <w:szCs w:val="24"/>
        </w:rPr>
        <w:br/>
        <w:t xml:space="preserve">Eredmények és következtetés:</w:t>
      </w:r>
      <w:r>
        <w:rPr>
          <w:color w:val="000000"/>
          <w:sz w:val="24"/>
          <w:szCs w:val="24"/>
        </w:rPr>
        <w:br/>
        <w:t xml:space="preserve">A harmadik évfolyam mintaosztályában a munkamemória fejlődött szignifikánsan (p &lt; .001). Motivációs szempontból a kooperatív tanulás (p = .047) és a csapaton belüli szerepvállalás (p = .033) alfaktorok értékei nőttek szignifikánsan.</w:t>
      </w:r>
      <w:r>
        <w:rPr>
          <w:color w:val="000000"/>
          <w:sz w:val="24"/>
          <w:szCs w:val="24"/>
        </w:rPr>
        <w:br/>
        <w:t xml:space="preserve">A hetedik évfolyam mintaosztályában a csapaton belüli rivalizálás mértéke csökkent szignifikánsan (p = .04). Míg a kontroll osztály a TASK főskálán (p = .034) és annak két alskálájában (p = .018; p = .011) rontott a kimeneti mérés idejére, addig a mintacsoport, habár szignifikánsan nem javult, a romlást elkerülte a TASK alskáláin.</w:t>
      </w:r>
      <w:r>
        <w:rPr>
          <w:color w:val="000000"/>
          <w:sz w:val="24"/>
          <w:szCs w:val="24"/>
        </w:rPr>
        <w:br/>
        <w:t xml:space="preserve">Megállapítottuk, hogy mind kognitív értelemben, mind motivációs értelemben a harmadik évfolyam reagált szenzitívebben a fejlesztésre a statisztikai mutatók alapján.</w:t>
      </w:r>
      <w:r>
        <w:rPr>
          <w:color w:val="000000"/>
          <w:sz w:val="24"/>
          <w:szCs w:val="24"/>
        </w:rPr>
        <w:br/>
        <w:t xml:space="preserve">A kognitív képességek napjainkban egyre fontosabb szerepet kapnak a mindennapi életünk során. Ezekkel a játékos feladatokkal amellett, hogy bizonyítottuk (hiszen a hipotéziseink közül kettő beigazolódott, 1 pedig részben tekinthető beigazoltnak), hogy a diákok kognitív képességei fejleszthetők, a gyerekek motivációja, lelkesedése is megnő. Ez az eredmény igazán fontos mostanság, hiszen a paradigmaváltás következményeként az élményalapú pedagógia és a játékorientált tevékenységek, módszerek lesznek a pedagógusok új fejlesztési lehetőségei.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02193">
    <w:multiLevelType w:val="hybridMultilevel"/>
    <w:lvl w:ilvl="0" w:tplc="78855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02193">
    <w:abstractNumId w:val="508021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755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