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FODRÓCZY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fodroczymark@student.elte.hu</w:t>
            </w:r>
            <w:r w:rsidRPr="001067CD">
              <w:rPr>
                <w:i/>
              </w:rPr>
              <w:br/>
            </w:r>
            <w:r w:rsidR="00A96AEC">
              <w:t>Sportszervezés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 – jellemzők összehasonlítása posztonként és a mérkőzések végeredményei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Labdarúgás, teljesítmény, antropometria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labdarúgás a világ egyik legnépszerűbb sportága, amelyet 1863-ban szabályoztak először. A sportág fejlődése során kulcsfontosságúvá vált a játékosok fizikai, technikai és taktikai képességeinek elemzése, különösen az utánpótlásképzés terén. A tanulmány célja, hogy a 16 éves akadémista labdarúgók kardiovaszkuláris és lokomotorikus jellemzőit vizsgálja posztspecifikus szempontból.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kutatás 24 elit akadémiai labdarúgó részvételével zajlott, akiknek antropometriai adatait, kardiovaszkuláris kapacitását és mérkőzéseken mért teljesítményét elemezték. A méréseket bioimpedancia-elemzéssel, spiroergometriával és GPS-alapú teljesítménykövető rendszerekkel végezték.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középpályások VO2max értékei kiemelkedően magasak voltak (58,33±4,10 ml/kg/perc), ami a folyamatos intenzív munkavégzést tükrözi. A támadók nagyobb sprintfutásokat végeztek, míg a védők a testmagasságuknak köszönhetően domináltak a légipárbajokban. Szignifikáns különbségek mutatkoztak a relatív aerob kapacitás és a testzsírszázalék között is, a középpályások javára. A mérkőzés közbeni terhelések összehasonlítása azt mutatta, hogy a második félidőben csökkent a teljesítmény, ami a fáradtság jeleire utal. A mérkőzések végeredményei szintén befolyásolták a futásteljesítményt, győztes mérkőzéseknél magasabb aktivitási szintet mértek.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Az eredmények rávilágítanak a pozícióspecifikus edzéstervezés szükségességére, amely figyelembe veszi a különböző posztokon játszók eltérő fiziológiai igényeit. Az optimális teljesítmény érdekében fontos az egyéni kardiovaszkuláris és testösszetételi adatok figyelembevétele.</w:t>
      </w:r>
      <w:r>
        <w:rPr>
          <w:color w:val="000000"/>
          <w:sz w:val="24"/>
          <w:szCs w:val="24"/>
        </w:rPr>
        <w:br/>
        <w:t xml:space="preserve">Limitációk</w:t>
      </w:r>
      <w:r>
        <w:rPr>
          <w:color w:val="000000"/>
          <w:sz w:val="24"/>
          <w:szCs w:val="24"/>
        </w:rPr>
        <w:br/>
        <w:t xml:space="preserve">A vizsgálat kis mintanagysága korlátozza az eredmények általánosíthatóságát. További kutatások szükségesek nagyobb mintával és különböző életkori csoportok bevonásával.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50187">
    <w:multiLevelType w:val="hybridMultilevel"/>
    <w:lvl w:ilvl="0" w:tplc="92348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50187">
    <w:abstractNumId w:val="52950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633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