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KARIM HADJADJ</w:t>
            </w:r>
          </w:p>
          <w:p w:rsidR="00C275A3" w:rsidRDefault="00CA6B74" w:rsidP="00C275A3">
            <w:pPr>
              <w:pStyle w:val="Hallgatokepzes"/>
            </w:pPr>
            <w:r w:rsidRPr="001067CD">
              <w:rPr>
                <w:i/>
              </w:rPr>
              <w:t>karimhadjadj20011009@outlook.com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Szilárd Hegedűs </w:t>
            </w:r>
          </w:p>
          <w:p w:rsidR="00DB4822" w:rsidRDefault="00DB4822" w:rsidP="00BA6BAF">
            <w:pPr>
              <w:pStyle w:val="Konzulensektitulus"/>
            </w:pPr>
            <w:r w:rsidRPr="00DB4822">
              <w:t>college associate professor, BGE PSZK</w:t>
            </w:r>
          </w:p>
        </w:tc>
      </w:tr>
      <w:tr w:rsidR="00DB4822" w:rsidTr="00DB4822">
        <w:tc>
          <w:tcPr>
            <w:tcW w:w="9854" w:type="dxa"/>
          </w:tcPr>
          <w:p w:rsidR="00DB4822" w:rsidRPr="00DB4822" w:rsidRDefault="00DB4822" w:rsidP="00BA6BAF">
            <w:pPr>
              <w:pStyle w:val="Konzulenseknev"/>
            </w:pPr>
            <w:r w:rsidRPr="00DB4822">
              <w:t>Gergely Ármin Bogdán</w:t>
            </w:r>
          </w:p>
          <w:p w:rsidR="00DB4822" w:rsidRDefault="00DB4822" w:rsidP="00BA6BAF">
            <w:pPr>
              <w:pStyle w:val="Konzulensektitulus"/>
            </w:pPr>
            <w:r w:rsidRPr="00DB4822">
              <w:t>senior analyst,  HÉTFA Research Institute and Center for Economic and Social Analysis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 Governments And Local Business Tax Complexity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Efficiency; Local Tax; Local Business Tax; Local Governments; Competitiveness</w:t>
      </w:r>
      <w:r>
        <w:t xml:space="preserve"/>
      </w:r>
    </w:p>
    <w:p>
      <w:pPr>
        <w:widowControl w:val="on"/>
        <w:pBdr/>
        <w:spacing w:before="240" w:after="240" w:line="240" w:lineRule="auto"/>
        <w:ind w:left="0" w:right="0"/>
        <w:jc w:val="left"/>
      </w:pPr>
      <w:r>
        <w:rPr>
          <w:color w:val="000000"/>
          <w:sz w:val="24"/>
          <w:szCs w:val="24"/>
        </w:rPr>
        <w:t xml:space="preserve">The topic of the paper is the situation of Hungarian municipalities from 2015 to 2022 and the complexity of the local business tax. The importance of this topic is unquestionable, as a country's national economy can remain competitive if municipalities can operate stably. Furthermore, another important question is whether the local business tax can provide a stable revenue source for the municipalities.</w:t>
      </w:r>
    </w:p>
    <w:p>
      <w:pPr>
        <w:widowControl w:val="on"/>
        <w:pBdr/>
        <w:spacing w:before="240" w:after="240" w:line="240" w:lineRule="auto"/>
        <w:ind w:left="0" w:right="0"/>
        <w:jc w:val="left"/>
      </w:pPr>
      <w:r>
        <w:rPr>
          <w:color w:val="000000"/>
          <w:sz w:val="24"/>
          <w:szCs w:val="24"/>
        </w:rPr>
        <w:t xml:space="preserve">Unfortunately, the answer is not easy. As the situation of municipalities in Hungary, they have not changed significantly between 2015 and 2022. The goal of this paper is to highlight the importances of municipalities and to update the topic among students and professionals.</w:t>
      </w:r>
    </w:p>
    <w:p>
      <w:pPr>
        <w:widowControl w:val="on"/>
        <w:pBdr/>
        <w:spacing w:before="240" w:after="240" w:line="240" w:lineRule="auto"/>
        <w:ind w:left="0" w:right="0"/>
        <w:jc w:val="left"/>
      </w:pPr>
      <w:r>
        <w:rPr>
          <w:color w:val="000000"/>
          <w:sz w:val="24"/>
          <w:szCs w:val="24"/>
        </w:rPr>
        <w:t xml:space="preserve">The research questions of the paper are:</w:t>
      </w:r>
    </w:p>
    <w:p>
      <w:pPr>
        <w:widowControl w:val="on"/>
        <w:pBdr/>
        <w:spacing w:before="240" w:after="240" w:line="240" w:lineRule="auto"/>
        <w:ind w:left="0" w:right="0"/>
        <w:jc w:val="left"/>
      </w:pPr>
      <w:r>
        <w:rPr>
          <w:color w:val="000000"/>
          <w:sz w:val="24"/>
          <w:szCs w:val="24"/>
        </w:rPr>
        <w:t xml:space="preserve">• Is the Hungarian municipal system under-taxed ?</w:t>
      </w:r>
      <w:r>
        <w:rPr>
          <w:color w:val="000000"/>
          <w:sz w:val="24"/>
          <w:szCs w:val="24"/>
        </w:rPr>
        <w:br/>
        <w:t xml:space="preserve">• If state subsidies were withdrawn, what portion of the municipalities would remain sovereign ?</w:t>
      </w:r>
      <w:r>
        <w:rPr>
          <w:color w:val="000000"/>
          <w:sz w:val="24"/>
          <w:szCs w:val="24"/>
        </w:rPr>
        <w:br/>
        <w:t xml:space="preserve">• Can tax reform solve the complexities of the local business tax ?</w:t>
      </w:r>
      <w:r>
        <w:rPr>
          <w:color w:val="000000"/>
          <w:sz w:val="24"/>
          <w:szCs w:val="24"/>
        </w:rPr>
        <w:br/>
        <w:br/>
        <w:t xml:space="preserve">During my analysis, I made calculations with the SPPS statistical program package. The analyses are:</w:t>
      </w:r>
    </w:p>
    <w:p>
      <w:pPr>
        <w:widowControl w:val="on"/>
        <w:pBdr/>
        <w:spacing w:before="240" w:after="240" w:line="240" w:lineRule="auto"/>
        <w:ind w:left="0" w:right="0"/>
        <w:jc w:val="left"/>
      </w:pPr>
      <w:r>
        <w:rPr>
          <w:color w:val="000000"/>
          <w:sz w:val="24"/>
          <w:szCs w:val="24"/>
        </w:rPr>
        <w:t xml:space="preserve">• Statistical analyses related to the local business tax.</w:t>
      </w:r>
      <w:r>
        <w:rPr>
          <w:color w:val="000000"/>
          <w:sz w:val="24"/>
          <w:szCs w:val="24"/>
        </w:rPr>
        <w:br/>
        <w:t xml:space="preserve">• Autonomy analysis among municipalities (total local business tax/total operating expenses).</w:t>
      </w:r>
      <w:r>
        <w:rPr>
          <w:color w:val="000000"/>
          <w:sz w:val="24"/>
          <w:szCs w:val="24"/>
        </w:rPr>
        <w:br/>
        <w:t xml:space="preserve">• Systematized summary of municipalities.</w:t>
      </w:r>
      <w:r>
        <w:rPr>
          <w:color w:val="000000"/>
          <w:sz w:val="24"/>
          <w:szCs w:val="24"/>
        </w:rPr>
        <w:br/>
        <w:t xml:space="preserve">• Analysis of variance (using cluster tables).</w:t>
      </w:r>
      <w:r>
        <w:rPr>
          <w:color w:val="000000"/>
          <w:sz w:val="24"/>
          <w:szCs w:val="24"/>
        </w:rPr>
        <w:br/>
        <w:br/>
        <w:t xml:space="preserve">The results of the research are not surprising. the condition of the municipalities has not seen any improvement. The revenue sources of municipalities are uncertain and the municipal system is under-taxed. The complexity of the local business tax challenges may arise in the predictability of tax revenues. These challenges can hinder the planning capabilities of municipalities.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14742">
    <w:multiLevelType w:val="hybridMultilevel"/>
    <w:lvl w:ilvl="0" w:tplc="91141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14742">
    <w:abstractNumId w:val="91214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898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