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NAGY</w:t>
            </w:r>
          </w:p>
          <w:p w:rsidR="00C275A3" w:rsidRDefault="00A96AEC" w:rsidP="00C275A3">
            <w:pPr>
              <w:pStyle w:val="Hallgatokepzes"/>
            </w:pPr>
            <w:r>
              <w:t>Chemical Engineer</w:t>
            </w:r>
            <w:r>
              <w:br/>
            </w:r>
            <w:r w:rsidR="00E77B23">
              <w:t>BSc, 5.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Professor Péter Láng</w:t>
            </w:r>
          </w:p>
          <w:p w:rsidR="00DB4822" w:rsidRDefault="00DB4822" w:rsidP="00E11062">
            <w:pPr>
              <w:pStyle w:val="Konzulensek"/>
            </w:pPr>
            <w:r w:rsidRPr="00DB4822">
              <w:t>Professor,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Decreasing of carbon dioxide emission by reactive absorption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increase of the carbon dioxide concentration is the most significant among the greenhouse gases. There are many ways to decrease the carbon emission of the power plants (washing with water, reactive absorption, membrane separation). The carbon capture and storage (CCS) is one of the most important research areas nowadays.</w:t>
      </w:r>
      <w:r>
        <w:rPr>
          <w:color w:val="000000"/>
          <w:sz w:val="24"/>
          <w:szCs w:val="24"/>
        </w:rPr>
        <w:br/>
        <w:t xml:space="preserve">The absorption is a well-known operation, its modeling and design is relatively easy. The most common solvent for chemical absorption of CO</w:t>
      </w:r>
      <w:r>
        <w:rPr>
          <w:color w:val="000000"/>
          <w:position w:val="-4"/>
          <w:sz w:val="21"/>
          <w:szCs w:val="21"/>
          <w:vertAlign w:val="subscript"/>
        </w:rPr>
        <w:t xml:space="preserve">2</w:t>
      </w:r>
      <w:r>
        <w:rPr>
          <w:color w:val="000000"/>
          <w:sz w:val="24"/>
          <w:szCs w:val="24"/>
        </w:rPr>
        <w:t xml:space="preserve"> is the aqueous MEA (monoethanol-amine) solution. It has high efficiency but extremely high stripping energy demand. This duality causes that there are many flow-sheet modifications to decrease the energy requirements of the process.</w:t>
      </w:r>
      <w:r>
        <w:rPr>
          <w:color w:val="000000"/>
          <w:sz w:val="24"/>
          <w:szCs w:val="24"/>
        </w:rPr>
        <w:br/>
        <w:t xml:space="preserve">The aim of my work is to study an absorber-stripper system by simulation. I investigated the effects of the most important operational parameters in order to decrease the energy demand of the process.</w:t>
      </w:r>
      <w:r>
        <w:rPr>
          <w:color w:val="000000"/>
          <w:sz w:val="24"/>
          <w:szCs w:val="24"/>
        </w:rPr>
        <w:br/>
        <w:t xml:space="preserve">The model of an absorber-stripper system was built-up in the ChemCAD professional flow-sheet simulator. The flow-sheet model was validated by pilot plant experimental data and the “Amine” thermodynamic model was validated by vapor-liquid equilibrium measurement data taken from the literature. The results of the validation in both cases show that the model is adequate.</w:t>
      </w:r>
      <w:r>
        <w:rPr>
          <w:color w:val="000000"/>
          <w:sz w:val="24"/>
          <w:szCs w:val="24"/>
        </w:rPr>
        <w:br/>
        <w:t xml:space="preserve">The effects of the pressure, L/G ratio, MEA concentration in the solvent, CO</w:t>
      </w:r>
      <w:r>
        <w:rPr>
          <w:color w:val="000000"/>
          <w:position w:val="-4"/>
          <w:sz w:val="21"/>
          <w:szCs w:val="21"/>
          <w:vertAlign w:val="subscript"/>
        </w:rPr>
        <w:t xml:space="preserve">2</w:t>
      </w:r>
      <w:r>
        <w:rPr>
          <w:color w:val="000000"/>
          <w:sz w:val="24"/>
          <w:szCs w:val="24"/>
        </w:rPr>
        <w:t xml:space="preserve"> concentration of the inlet exhaust gas and feed temperatures were studied at first for the distinct columns, after that for the whole system.</w:t>
      </w:r>
      <w:r>
        <w:rPr>
          <w:color w:val="000000"/>
          <w:sz w:val="24"/>
          <w:szCs w:val="24"/>
        </w:rPr>
        <w:br/>
        <w:t xml:space="preserve">I stated that in the absorber a few (6-7) theoretical plates are enough, while the stripper needs more (more than 20) theoretical plates. On increase of the L/G ratio the carbon dioxide recovery increases and the energy demand decreases. The higher pressure is favorable to the energy demand and the CO</w:t>
      </w:r>
      <w:r>
        <w:rPr>
          <w:color w:val="000000"/>
          <w:position w:val="-4"/>
          <w:sz w:val="21"/>
          <w:szCs w:val="21"/>
          <w:vertAlign w:val="subscript"/>
        </w:rPr>
        <w:t xml:space="preserve">2</w:t>
      </w:r>
      <w:r>
        <w:rPr>
          <w:color w:val="000000"/>
          <w:sz w:val="24"/>
          <w:szCs w:val="24"/>
        </w:rPr>
        <w:t xml:space="preserve"> recovery in the stripper but the decomposition temperature of the MEA (130 °C) limits the increase of the pressure.</w:t>
      </w:r>
      <w:r>
        <w:rPr>
          <w:color w:val="000000"/>
          <w:sz w:val="24"/>
          <w:szCs w:val="24"/>
        </w:rPr>
        <w:br/>
        <w:t xml:space="preserve">Two flow-sheet modifications (“rich-split” and “split-flow”) were also investigated. The operation of these modified systems was optimized by the genetic algorithm by the aid of an own Visual Basic for Applications program connected to ChemCAD.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433243">
    <w:multiLevelType w:val="hybridMultilevel"/>
    <w:lvl w:ilvl="0" w:tplc="806405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433243">
    <w:abstractNumId w:val="124332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05692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