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VIVIEN HORNYÁK</w:t>
            </w:r>
          </w:p>
          <w:p w:rsidR="00C275A3" w:rsidRDefault="00CA6B74" w:rsidP="00C275A3">
            <w:pPr>
              <w:pStyle w:val="Hallgatokepzes"/>
            </w:pPr>
            <w:r w:rsidRPr="001067CD">
              <w:rPr>
                <w:i/>
              </w:rPr>
              <w:t>hornyak.nusika@gmail.com</w:t>
            </w:r>
            <w:r w:rsidRPr="001067CD">
              <w:rPr>
                <w:i/>
              </w:rPr>
              <w:br/>
            </w:r>
            <w:r w:rsidR="00A96AEC">
              <w:t>Economics and Management</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Enikő Lencsés</w:t>
            </w:r>
          </w:p>
          <w:p w:rsidR="00DB4822" w:rsidRDefault="00DB4822" w:rsidP="00BA6BAF">
            <w:pPr>
              <w:pStyle w:val="Konzulensektitulus"/>
            </w:pPr>
            <w:r w:rsidRPr="00DB4822">
              <w:t>Associate Professor, BGE PSZK</w:t>
            </w:r>
          </w:p>
        </w:tc>
      </w:tr>
      <w:tr w:rsidR="00DB4822" w:rsidTr="00DB4822">
        <w:tc>
          <w:tcPr>
            <w:tcW w:w="9854" w:type="dxa"/>
          </w:tcPr>
          <w:p w:rsidR="00DB4822" w:rsidRPr="00DB4822" w:rsidRDefault="00DB4822" w:rsidP="00BA6BAF">
            <w:pPr>
              <w:pStyle w:val="Konzulenseknev"/>
            </w:pPr>
            <w:r w:rsidRPr="00DB4822">
              <w:t>Dr. Szilárd Hegedűs</w:t>
            </w:r>
          </w:p>
          <w:p w:rsidR="00DB4822" w:rsidRDefault="00DB4822" w:rsidP="00BA6BAF">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integration of ESG compliance into the operations of an energy company and the development of a sustainability-focused performance indicator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sustainability;non-financial reports;energy sector;ESG;Central Europe</w:t>
      </w:r>
      <w:r>
        <w:t xml:space="preserve"/>
      </w:r>
    </w:p>
    <w:p>
      <w:pPr>
        <w:widowControl w:val="on"/>
        <w:pBdr/>
        <w:spacing w:before="240" w:after="240" w:line="240" w:lineRule="auto"/>
        <w:ind w:left="0" w:right="0"/>
        <w:jc w:val="left"/>
      </w:pPr>
      <w:r>
        <w:rPr>
          <w:color w:val="000000"/>
          <w:sz w:val="24"/>
          <w:szCs w:val="24"/>
        </w:rPr>
        <w:t xml:space="preserve">In my thesis, I explore the practice of sustainability-reporting and the integration of ESG performance into corporate operation with a particular focus on challenges and opportunities surrounding reporting. The aim of my thesis is to present the good practice and shortcomings that characterize the reporting practice in the Central European energy sector. Furthermore, I also examine the relationship between ESG performance and financial performance. Finally, I aim to propose suggestions that can help companies improve the quality of their reports.</w:t>
      </w:r>
      <w:r>
        <w:rPr>
          <w:color w:val="000000"/>
          <w:sz w:val="24"/>
          <w:szCs w:val="24"/>
        </w:rPr>
        <w:br/>
        <w:t xml:space="preserve">The research questions that I sought to answer in my thesis were the following: 1, How do companies perceive sustainability and the obligations prescribed by the related regulations? 2, What is the relationship between a company’s financial performance, competitiveness, long term viability in the energy sector and the integration of ESG factors into corporate operation? 3, What are the challenges of developing a sustainability focused ESG key performance indicator framework?</w:t>
      </w:r>
      <w:r>
        <w:rPr>
          <w:color w:val="000000"/>
          <w:sz w:val="24"/>
          <w:szCs w:val="24"/>
        </w:rPr>
        <w:br/>
        <w:t xml:space="preserve">During the literature review and most of my research, I relied on secondary data. To gain deeper understanding of the topic and to answer my research questions, I chose mixed research methodology. To familiarize myself with the reports I used in my research, I conducted content analysis. In my analysis, I examined the integrated reports of six Central European energy companies from 2021 to 2023. I used my own criteria and point system during my analyzation. Finally, I used financial statements from the selected three-year period to examine the financial performance of the chosen six companies.</w:t>
      </w:r>
      <w:r>
        <w:rPr>
          <w:color w:val="000000"/>
          <w:sz w:val="24"/>
          <w:szCs w:val="24"/>
        </w:rPr>
        <w:br/>
        <w:t xml:space="preserve">The results of the research highlight how companies view the integration of the ESG framework into their corporate operations. That is, whether they see sustainability as a genuine commitment and opportunity or as a mandatory burden imposed by the strict regulatory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83124">
    <w:multiLevelType w:val="hybridMultilevel"/>
    <w:lvl w:ilvl="0" w:tplc="85170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83124">
    <w:abstractNumId w:val="664831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7756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