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csszabo@gmail.com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Juhász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Gáspár Tamás CSc.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vállalatok fenntartható gondolkodása az ESRS nézőpontjából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ESRS; ESG; értékláncok; kockázat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2024-es év az ESG és a fenntarthatóság szempontjából egy kiemelten dinamikus időszak,</w:t>
      </w:r>
      <w:r>
        <w:rPr>
          <w:color w:val="000000"/>
          <w:sz w:val="24"/>
          <w:szCs w:val="24"/>
        </w:rPr>
        <w:br/>
        <w:t xml:space="preserve">amely során a magyarországi jogalkotás rendeleti szinten is beemelte az Európai Unió által</w:t>
      </w:r>
      <w:r>
        <w:rPr>
          <w:color w:val="000000"/>
          <w:sz w:val="24"/>
          <w:szCs w:val="24"/>
        </w:rPr>
        <w:br/>
        <w:t xml:space="preserve">közzétett ESRS standardot. Az ESRS standard a vállalatok fenntarthatósági jelentéseinek egyik</w:t>
      </w:r>
      <w:r>
        <w:rPr>
          <w:color w:val="000000"/>
          <w:sz w:val="24"/>
          <w:szCs w:val="24"/>
        </w:rPr>
        <w:br/>
        <w:t xml:space="preserve">strukturális alapját képezheti. A célom annak a vizsgálata, hogy a vállalatok mennyire mérik</w:t>
      </w:r>
      <w:r>
        <w:rPr>
          <w:color w:val="000000"/>
          <w:sz w:val="24"/>
          <w:szCs w:val="24"/>
        </w:rPr>
        <w:br/>
        <w:t xml:space="preserve">fel a fenntarthatósággal kapcsolatos kockázataikat, milyen hajlandóság mutatkozik a részükről</w:t>
      </w:r>
      <w:r>
        <w:rPr>
          <w:color w:val="000000"/>
          <w:sz w:val="24"/>
          <w:szCs w:val="24"/>
        </w:rPr>
        <w:br/>
        <w:t xml:space="preserve">a fenntarthatósággal kapcsolatos tevékenységeik pénzügyi finanszírozására, továbbá célom</w:t>
      </w:r>
      <w:r>
        <w:rPr>
          <w:color w:val="000000"/>
          <w:sz w:val="24"/>
          <w:szCs w:val="24"/>
        </w:rPr>
        <w:br/>
        <w:t xml:space="preserve">bemutatni a megkérdezett vállalatok értékláncainak monitorozási szándékát a fenntarthatóságra</w:t>
      </w:r>
      <w:r>
        <w:rPr>
          <w:color w:val="000000"/>
          <w:sz w:val="24"/>
          <w:szCs w:val="24"/>
        </w:rPr>
        <w:br/>
        <w:t xml:space="preserve">való törekvéseik vonatkozásában. A vizsgálat alapját az ESRS direktíva szolgáltatja. A kutatás</w:t>
      </w:r>
      <w:r>
        <w:rPr>
          <w:color w:val="000000"/>
          <w:sz w:val="24"/>
          <w:szCs w:val="24"/>
        </w:rPr>
        <w:br/>
        <w:t xml:space="preserve">primer része 2 db irányított interjú, majd kérdőíves adatgyűjtés formájában valósult meg. A</w:t>
      </w:r>
      <w:r>
        <w:rPr>
          <w:color w:val="000000"/>
          <w:sz w:val="24"/>
          <w:szCs w:val="24"/>
        </w:rPr>
        <w:br/>
        <w:t xml:space="preserve">dolgozat felfedi azt, hogy a kérdőívet kitöltő vállalatok nagy százalékban nem fordítanak kellő</w:t>
      </w:r>
      <w:r>
        <w:rPr>
          <w:color w:val="000000"/>
          <w:sz w:val="24"/>
          <w:szCs w:val="24"/>
        </w:rPr>
        <w:br/>
        <w:t xml:space="preserve">figyelmet a fenntarthatóságból eredő működési kockázataik monitorozására és elemzésére. A</w:t>
      </w:r>
      <w:r>
        <w:rPr>
          <w:color w:val="000000"/>
          <w:sz w:val="24"/>
          <w:szCs w:val="24"/>
        </w:rPr>
        <w:br/>
        <w:t xml:space="preserve">kutatás rámutat arra, hogy a kitöltő vállalatok nem allokálnak erre elegendő pénzügyi forrást</w:t>
      </w:r>
      <w:r>
        <w:rPr>
          <w:color w:val="000000"/>
          <w:sz w:val="24"/>
          <w:szCs w:val="24"/>
        </w:rPr>
        <w:br/>
        <w:t xml:space="preserve">(szüksége minimumra való törekvés elve érvényesül), valamint az értékláncaik kapcsán nem</w:t>
      </w:r>
      <w:r>
        <w:rPr>
          <w:color w:val="000000"/>
          <w:sz w:val="24"/>
          <w:szCs w:val="24"/>
        </w:rPr>
        <w:br/>
        <w:t xml:space="preserve">vizsgálják azok nem fenntartható vállalati működésének kockázatát.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67372">
    <w:multiLevelType w:val="hybridMultilevel"/>
    <w:lvl w:ilvl="0" w:tplc="71911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67372">
    <w:abstractNumId w:val="793673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0680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