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CSABA SZABÓ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csszabo@gmail.com</w:t>
            </w:r>
            <w:r w:rsidRPr="001067CD">
              <w:rPr>
                <w:i/>
              </w:rPr>
              <w:br/>
            </w:r>
            <w:r w:rsidR="00A96AEC">
              <w:t>International Economy and Business</w:t>
            </w:r>
            <w:r w:rsidR="00A96AEC">
              <w:br/>
            </w:r>
            <w:r w:rsidR="00E77B23">
              <w:t>MA,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 Business University</w:t>
            </w:r>
            <w:r w:rsidR="00C275A3">
              <w:br/>
            </w:r>
            <w:r w:rsidR="00DB4822">
              <w:t>College of International Management and Business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Tímea Juhász 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BGE KKK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Tamás Gáspár CSc.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BGE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Corporate sustainable thinking from the ESRS perspective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sustainability; ESRS; ESG; value chains; risk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year 2024 is a dynamic period for ESG and sustainability because the Hungarian</w:t>
      </w:r>
      <w:r>
        <w:rPr>
          <w:color w:val="000000"/>
          <w:sz w:val="24"/>
          <w:szCs w:val="24"/>
        </w:rPr>
        <w:br/>
        <w:t xml:space="preserve">government has adopted the ESRS standard which was published by the European Union. The</w:t>
      </w:r>
      <w:r>
        <w:rPr>
          <w:color w:val="000000"/>
          <w:sz w:val="24"/>
          <w:szCs w:val="24"/>
        </w:rPr>
        <w:br/>
        <w:t xml:space="preserve">ESRS standard can be a structure of a corporate sustainability report. My aim is to investigate</w:t>
      </w:r>
      <w:r>
        <w:rPr>
          <w:color w:val="000000"/>
          <w:sz w:val="24"/>
          <w:szCs w:val="24"/>
        </w:rPr>
        <w:br/>
        <w:t xml:space="preserve">on which companies assess their sustainability risks, their willingness to finance their</w:t>
      </w:r>
      <w:r>
        <w:rPr>
          <w:color w:val="000000"/>
          <w:sz w:val="24"/>
          <w:szCs w:val="24"/>
        </w:rPr>
        <w:br/>
        <w:t xml:space="preserve">sustainability-related activities and how the companies can monitor their sustainability efforts.</w:t>
      </w:r>
      <w:r>
        <w:rPr>
          <w:color w:val="000000"/>
          <w:sz w:val="24"/>
          <w:szCs w:val="24"/>
        </w:rPr>
        <w:br/>
        <w:t xml:space="preserve">The ESRS Directive provides the basis for the study. The primary part of the research took 2</w:t>
      </w:r>
      <w:r>
        <w:rPr>
          <w:color w:val="000000"/>
          <w:sz w:val="24"/>
          <w:szCs w:val="24"/>
        </w:rPr>
        <w:br/>
        <w:t xml:space="preserve">guided interviews and they followed by a questionnaire. The essay reveals that a high</w:t>
      </w:r>
      <w:r>
        <w:rPr>
          <w:color w:val="000000"/>
          <w:sz w:val="24"/>
          <w:szCs w:val="24"/>
        </w:rPr>
        <w:br/>
        <w:t xml:space="preserve">percentage of the companies that completed the questionnaire do not pay enough attention to</w:t>
      </w:r>
      <w:r>
        <w:rPr>
          <w:color w:val="000000"/>
          <w:sz w:val="24"/>
          <w:szCs w:val="24"/>
        </w:rPr>
        <w:br/>
        <w:t xml:space="preserve">monitoring and analysing their operational risks arising from sustainability. The research shows</w:t>
      </w:r>
      <w:r>
        <w:rPr>
          <w:color w:val="000000"/>
          <w:sz w:val="24"/>
          <w:szCs w:val="24"/>
        </w:rPr>
        <w:br/>
        <w:t xml:space="preserve">that participant companies do not allocate enough financial resources to them (doing the</w:t>
      </w:r>
      <w:r>
        <w:rPr>
          <w:color w:val="000000"/>
          <w:sz w:val="24"/>
          <w:szCs w:val="24"/>
        </w:rPr>
        <w:br/>
        <w:t xml:space="preserve">minimum necessary) and do not investigate the risks of their non-sustainable operations in</w:t>
      </w:r>
      <w:r>
        <w:rPr>
          <w:color w:val="000000"/>
          <w:sz w:val="24"/>
          <w:szCs w:val="24"/>
        </w:rPr>
        <w:br/>
        <w:t xml:space="preserve">relation to their value chains.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831270">
    <w:multiLevelType w:val="hybridMultilevel"/>
    <w:lvl w:ilvl="0" w:tplc="172831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831270">
    <w:abstractNumId w:val="148312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12584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