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SZŰCS</w:t>
            </w:r>
          </w:p>
          <w:p w:rsidR="00C275A3" w:rsidRDefault="00CA6B74" w:rsidP="00C275A3">
            <w:pPr>
              <w:pStyle w:val="Hallgatokepzes"/>
            </w:pPr>
            <w:r w:rsidRPr="001067CD">
              <w:rPr>
                <w:i/>
              </w:rPr>
              <w:t>szucsnicolett@gmail.com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Balázs Fajt</w:t>
            </w:r>
          </w:p>
          <w:p w:rsidR="00DB4822" w:rsidRDefault="00DB4822" w:rsidP="00BA6BAF">
            <w:pPr>
              <w:pStyle w:val="Konzulensektitulus"/>
            </w:pPr>
            <w:r w:rsidRPr="00DB4822">
              <w:t>senior lecturer,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Time Perception and Its Impact on Economic Cooperation and Work Processes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psychology; intercultural communication; time perception</w:t>
      </w:r>
      <w:r>
        <w:t xml:space="preserve"/>
      </w:r>
    </w:p>
    <w:p>
      <w:pPr>
        <w:widowControl w:val="on"/>
        <w:pBdr/>
        <w:spacing w:before="240" w:after="240" w:line="240" w:lineRule="auto"/>
        <w:ind w:left="0" w:right="0"/>
        <w:jc w:val="left"/>
      </w:pPr>
      <w:r>
        <w:rPr>
          <w:color w:val="000000"/>
          <w:sz w:val="24"/>
          <w:szCs w:val="24"/>
        </w:rPr>
        <w:t xml:space="preserve">The aim of the research is to comprehensively examine the Hungarian time perception, with a focus on identifying its impact on economic cooperation and work processes. Although numerous international studies have explored time perception in other countries, no empirical research has examined the attitudes of the Hungarian society toward time from an economic perspective. This study, therefore, fills an important research gap. Understanding Hungarian time norms can provide valuable guidance for leaders in developing more efficient workflows and can be crucial for optimizing international and subcultural collaborations. Within the framework of the quantitative research paradigm, the study uses a questionnaire method (n=1225) to explore factors (e.g., age, gender, position at work) which may influence time management, including attitudes toward punctuality and tardiness. The results indicate that in Hungary, time norms related to punctuality depend on individual and situational factors, meaning there is no widespread consensus on defining tardiness. Since norms regarding punctuality are vague, their unintentional violation can lead to conflicts not only in intercultural environments but also within organizations. The analysis also reveals that Hungarian thinking is strongly clock-oriented. When we judge tardiness, the time on the clock takes precedence over any circumstance that may arise. This also affects, among other things, which cultures Hungarian economic actors can collaborate with more smoothly and efficiently in terms of time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52462">
    <w:multiLevelType w:val="hybridMultilevel"/>
    <w:lvl w:ilvl="0" w:tplc="69860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52462">
    <w:abstractNumId w:val="113524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12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