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SÁMUEL</w:t>
            </w:r>
          </w:p>
          <w:p w:rsidR="00C275A3" w:rsidRDefault="00CA6B74" w:rsidP="00C275A3">
            <w:pPr>
              <w:pStyle w:val="Hallgatokepzes"/>
            </w:pPr>
            <w:r w:rsidRPr="001067CD">
              <w:rPr>
                <w:i/>
              </w:rPr>
              <w:t>balazs.samuel@gmail.com</w:t>
            </w:r>
            <w:r w:rsidRPr="001067CD">
              <w:rPr>
                <w:i/>
              </w:rPr>
              <w:br/>
            </w:r>
            <w:r w:rsidR="00A96AEC">
              <w:t>Orvosi biotechnológia</w:t>
            </w:r>
            <w:r w:rsidR="00A96AEC">
              <w:br/>
            </w:r>
            <w:r w:rsidR="00E77B23">
              <w:t>MSc, 4. félév</w:t>
            </w:r>
          </w:p>
          <w:p w:rsidR="00C265CE" w:rsidRPr="009E5FF1" w:rsidRDefault="00E77B23" w:rsidP="00BA6BAF">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Orbán Tamás</w:t>
            </w:r>
          </w:p>
          <w:p w:rsidR="00DB4822" w:rsidRDefault="00DB4822" w:rsidP="00BA6BAF">
            <w:pPr>
              <w:pStyle w:val="Konzulensektitulus"/>
            </w:pPr>
            <w:r w:rsidRPr="00DB4822">
              <w:t>Kutatócsoport- vezető,  HUN-REN TTK, Molekuláris Élettudoményai Intézet</w:t>
            </w:r>
          </w:p>
        </w:tc>
      </w:tr>
      <w:tr w:rsidR="00DB4822" w:rsidTr="00DB4822">
        <w:tc>
          <w:tcPr>
            <w:tcW w:w="9854" w:type="dxa"/>
          </w:tcPr>
          <w:p w:rsidR="00DB4822" w:rsidRPr="00DB4822" w:rsidRDefault="00DB4822" w:rsidP="00BA6BAF">
            <w:pPr>
              <w:pStyle w:val="Konzulenseknev"/>
            </w:pPr>
            <w:r w:rsidRPr="00DB4822">
              <w:t>Dr. Gáspári Zoltán</w:t>
            </w:r>
          </w:p>
          <w:p w:rsidR="00DB4822" w:rsidRDefault="00DB4822" w:rsidP="00BA6BAF">
            <w:pPr>
              <w:pStyle w:val="Konzulensektitulus"/>
            </w:pPr>
            <w:r w:rsidRPr="00DB4822">
              <w:t>Egyetemi tanár,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Regulation of microRNA stability: investigation of target-directed microRNA degradation (TDMD)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mikro-RNS, qualitative real-time PCR, ZSWIM8, fehérje csendesítés</w:t>
      </w:r>
      <w:r>
        <w:t xml:space="preserve"/>
      </w:r>
    </w:p>
    <w:p>
      <w:pPr>
        <w:widowControl w:val="on"/>
        <w:pBdr/>
        <w:spacing w:before="240" w:after="240" w:line="240" w:lineRule="auto"/>
        <w:ind w:left="0" w:right="0"/>
        <w:jc w:val="left"/>
      </w:pPr>
      <w:r>
        <w:rPr>
          <w:color w:val="000000"/>
          <w:sz w:val="24"/>
          <w:szCs w:val="24"/>
        </w:rPr>
        <w:t xml:space="preserve">microRNAs (miRNAs) are small, ~22 nucleotide (nt) long, non-coding RNA molecules, crucial for regulating gene expression on the post-transcriptional level. They function as master regulators of post-transcriptional gene control. In line with that, many developmental, medical, and cognitive disorders have been linked to the loss of animal miRNA genes or mutations of their target sites. Highlighting their importance in 2024, Victor Ambros and Gary Ruvkun received the Nobel Prize for their discovery of miRNAs in 1993.</w:t>
      </w:r>
      <w:r>
        <w:rPr>
          <w:color w:val="000000"/>
          <w:sz w:val="24"/>
          <w:szCs w:val="24"/>
        </w:rPr>
        <w:br/>
        <w:t xml:space="preserve">However, despite their immense impact, following two decades of intensive research, fairly little is known about the regulation of miRNA stability. Especially of the processes about how miRNA-specific degradation occurs, as sudden drop in the levels of distinct miRNAs was described in numerous biological processes. A breakthrough in this field came in 2010, when the mechanism of target-directed miRNA degradation (TDMD) was proposed. According to this, miRNA degradation happens in case of a specific, more extensive base paring between mRNA and miRNA: this leads to 3’ modifications (mainly uridylation) and a subsequent degradation of the specific miRNAs. In addition to that, in 2020 further investigations showed that a E3 ubiquitin ligase, namely ZSWIM8 is also a key component of TDMD but it does not act primarily on the miRNA: it plays a crucial role in AGO ubiquitination and in the destabilization of the silencing complex. In humans, so far 10-15 miRNAs are shown to be ZSWIM8 sensitive. This means that in cell lines with impaired TDMD machinery, achieved by ZSWIM8 depletion, their level is elevated. In my research I am investigating TDMD in ZSWIM8 knock-down human cell lines, trying to find new miRNA(s) which are ZSWIM8 sensitive, meaning that they are most likely TDMD substrates. The relevance of identifying new TDMD substrate miRNAs lies not only in deeper understanding of cellular gene regulatory networks that govern cell growth, differentiation or apoptosis, but also it can potentially give us a better understanding of the patomechanism of some viruses. It has recently been shown that several viruses use TDMD to regulate the host cell’s miRNA pool, creating a better environment for viral infection and disease development. Therefore, in my research group we are currently investigating potentially new TDMD target miRNAs in ZSWIM8 knockdown HEK-293 cells. In my essay I am presenting our results so far.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76089">
    <w:multiLevelType w:val="hybridMultilevel"/>
    <w:lvl w:ilvl="0" w:tplc="71442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76089">
    <w:abstractNumId w:val="733760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34618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