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KVASZNICZA JÚLIA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julia.kvasznicza2002@gmail.com</w:t>
            </w:r>
            <w:r w:rsidRPr="001067CD">
              <w:rPr>
                <w:i/>
              </w:rPr>
              <w:br/>
            </w:r>
            <w:r w:rsidR="00A96AEC">
              <w:t>Molekuláris bionika mérnöki BSc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és Bionikai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Garay Tamás Márton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egyetmi docens, PPKE ITK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Németh Afrodité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PPKE ITK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Ciklodextrinek onkológiai felhasználhatóságának vizsgálata humán sejteken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Humán tumoros/nem-tumoros sejtvonal, ciklodextrin, extracelluláris vezikula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ciklodextrinek (CD) a természetben is előforduló ciklikus oligoszaharidok. A CD-k toro-</w:t>
      </w:r>
      <w:r>
        <w:rPr>
          <w:color w:val="000000"/>
          <w:sz w:val="24"/>
          <w:szCs w:val="24"/>
        </w:rPr>
        <w:br/>
        <w:t xml:space="preserve">idális szerkezetük lehetővé teszi a lipidek és az apoláris gyógyszermolekulák kapszulázására.</w:t>
      </w:r>
      <w:r>
        <w:rPr>
          <w:color w:val="000000"/>
          <w:sz w:val="24"/>
          <w:szCs w:val="24"/>
        </w:rPr>
        <w:br/>
        <w:t xml:space="preserve">A természetben előforduló gyógyszerhatóanyagok fellendülésével a CD-ket gyógyszeripari al-</w:t>
      </w:r>
      <w:r>
        <w:rPr>
          <w:color w:val="000000"/>
          <w:sz w:val="24"/>
          <w:szCs w:val="24"/>
        </w:rPr>
        <w:br/>
        <w:t xml:space="preserve">kalmazásokban is használják. Kiemelten az apoláris hatóanyagok oldódásának fokozására.</w:t>
      </w:r>
      <w:r>
        <w:rPr>
          <w:color w:val="000000"/>
          <w:sz w:val="24"/>
          <w:szCs w:val="24"/>
        </w:rPr>
        <w:br/>
        <w:t xml:space="preserve">Az extracelluláris vezikulák (EV-k) jelentős hatást gyakorolnak a tumor áttétképződésre és</w:t>
      </w:r>
      <w:r>
        <w:rPr>
          <w:color w:val="000000"/>
          <w:sz w:val="24"/>
          <w:szCs w:val="24"/>
        </w:rPr>
        <w:br/>
        <w:t xml:space="preserve">a gyógyszerrezisztencia mechanizmusaira, így a sejtek közötti kommunikáció létfontosságú</w:t>
      </w:r>
      <w:r>
        <w:rPr>
          <w:color w:val="000000"/>
          <w:sz w:val="24"/>
          <w:szCs w:val="24"/>
        </w:rPr>
        <w:br/>
        <w:t xml:space="preserve">alkotóelemét képezik.</w:t>
      </w:r>
      <w:r>
        <w:rPr>
          <w:color w:val="000000"/>
          <w:sz w:val="24"/>
          <w:szCs w:val="24"/>
        </w:rPr>
        <w:br/>
        <w:t xml:space="preserve">A CD-k képesek kölcsönhatásba lépni a membránlipidekkel, potenciálisan befolyásolhatják</w:t>
      </w:r>
      <w:r>
        <w:rPr>
          <w:color w:val="000000"/>
          <w:sz w:val="24"/>
          <w:szCs w:val="24"/>
        </w:rPr>
        <w:br/>
        <w:t xml:space="preserve">az EV-k transzportját is, így közvetetten módosíthatják a tumorsejtek közötti intercelluláris</w:t>
      </w:r>
      <w:r>
        <w:rPr>
          <w:color w:val="000000"/>
          <w:sz w:val="24"/>
          <w:szCs w:val="24"/>
        </w:rPr>
        <w:br/>
        <w:t xml:space="preserve">kommunikációt. Ennek következtében szerepet játszhatnak a tumorok fejlődésének, növe-</w:t>
      </w:r>
      <w:r>
        <w:rPr>
          <w:color w:val="000000"/>
          <w:sz w:val="24"/>
          <w:szCs w:val="24"/>
        </w:rPr>
        <w:br/>
        <w:t xml:space="preserve">kedésének és disszeminációjának különböző fázisaiban.</w:t>
      </w:r>
      <w:r>
        <w:rPr>
          <w:color w:val="000000"/>
          <w:sz w:val="24"/>
          <w:szCs w:val="24"/>
        </w:rPr>
        <w:br/>
        <w:t xml:space="preserve">Ezzel összhangban kutatásom célja a ciklodextrinek hatásainak vizsgálata az EV-k felsza-</w:t>
      </w:r>
      <w:r>
        <w:rPr>
          <w:color w:val="000000"/>
          <w:sz w:val="24"/>
          <w:szCs w:val="24"/>
        </w:rPr>
        <w:br/>
        <w:t xml:space="preserve">badulására és dokkolására humán tumor- és nem tumoros sejtekben in vitro körülmények</w:t>
      </w:r>
      <w:r>
        <w:rPr>
          <w:color w:val="000000"/>
          <w:sz w:val="24"/>
          <w:szCs w:val="24"/>
        </w:rPr>
        <w:br/>
        <w:t xml:space="preserve">között. Megfigyeléseinket négy melanoma sejtvonalon végeztük. Továbbá kutatásainkat két</w:t>
      </w:r>
      <w:r>
        <w:rPr>
          <w:color w:val="000000"/>
          <w:sz w:val="24"/>
          <w:szCs w:val="24"/>
        </w:rPr>
        <w:br/>
        <w:t xml:space="preserve">nem tumoros sejtvonalra is kiterjeztettük a CD-kezelés átfogóbb tanulmányozásának érde-</w:t>
      </w:r>
      <w:r>
        <w:rPr>
          <w:color w:val="000000"/>
          <w:sz w:val="24"/>
          <w:szCs w:val="24"/>
        </w:rPr>
        <w:br/>
        <w:t xml:space="preserve">kében.</w:t>
      </w:r>
      <w:r>
        <w:rPr>
          <w:color w:val="000000"/>
          <w:sz w:val="24"/>
          <w:szCs w:val="24"/>
        </w:rPr>
        <w:br/>
        <w:t xml:space="preserve">A CD kezelés szenzitivitását SRB assay-vel határoztuk meg. Az általunk vizsgált CD-</w:t>
      </w:r>
      <w:r>
        <w:rPr>
          <w:color w:val="000000"/>
          <w:sz w:val="24"/>
          <w:szCs w:val="24"/>
        </w:rPr>
        <w:br/>
        <w:t xml:space="preserve">k jellemzően jól tolerálhatónak bizonyultak a vizsgált sejtvonalakon (HaCaT, HEK293,</w:t>
      </w:r>
      <w:r>
        <w:rPr>
          <w:color w:val="000000"/>
          <w:sz w:val="24"/>
          <w:szCs w:val="24"/>
        </w:rPr>
        <w:br/>
        <w:t xml:space="preserve">WM983A, WM983B és A2058). Az EV karakterizálás során összfehérje mennyiséget, össz-</w:t>
      </w:r>
      <w:r>
        <w:rPr>
          <w:color w:val="000000"/>
          <w:sz w:val="24"/>
          <w:szCs w:val="24"/>
        </w:rPr>
        <w:br/>
        <w:t xml:space="preserve">lipid mennyiséget, medián részecske méretet és részecske mennyiséget vizsgáltunk. A CD-</w:t>
      </w:r>
      <w:r>
        <w:rPr>
          <w:color w:val="000000"/>
          <w:sz w:val="24"/>
          <w:szCs w:val="24"/>
        </w:rPr>
        <w:br/>
        <w:t xml:space="preserve">kezelések nem befolyásolták jelentősen az EV-k méretét és mennyiségét, de az EV frakció</w:t>
      </w:r>
      <w:r>
        <w:rPr>
          <w:color w:val="000000"/>
          <w:sz w:val="24"/>
          <w:szCs w:val="24"/>
        </w:rPr>
        <w:br/>
        <w:t xml:space="preserve">fehérjetartalma CD-enként eltérően változott, míg a CD kezelt EV-k lipid-részecske méret-</w:t>
      </w:r>
      <w:r>
        <w:rPr>
          <w:color w:val="000000"/>
          <w:sz w:val="24"/>
          <w:szCs w:val="24"/>
        </w:rPr>
        <w:br/>
        <w:t xml:space="preserve">aránya a kontrollhoz képest csökkent. Tömegspektrometriával vizsgáltuk a CD-k eloszlását</w:t>
      </w:r>
      <w:r>
        <w:rPr>
          <w:color w:val="000000"/>
          <w:sz w:val="24"/>
          <w:szCs w:val="24"/>
        </w:rPr>
        <w:br/>
        <w:t xml:space="preserve">a WM983A és WM983B sejtvonalak által termelt EV-kben. A molekulák jelenléte hasonló</w:t>
      </w:r>
      <w:r>
        <w:rPr>
          <w:color w:val="000000"/>
          <w:sz w:val="24"/>
          <w:szCs w:val="24"/>
        </w:rPr>
        <w:br/>
        <w:t xml:space="preserve">eloszlást mutatott a sejtvonalakban, de eltérő mintázatot adott a különböző ciklodextrinek</w:t>
      </w:r>
      <w:r>
        <w:rPr>
          <w:color w:val="000000"/>
          <w:sz w:val="24"/>
          <w:szCs w:val="24"/>
        </w:rPr>
        <w:br/>
        <w:t xml:space="preserve">(DIMEB95, RAMEB és αCD) esetében. Videomikroszkópos kísérlettel elemeztük a tumo-</w:t>
      </w:r>
      <w:r>
        <w:rPr>
          <w:color w:val="000000"/>
          <w:sz w:val="24"/>
          <w:szCs w:val="24"/>
        </w:rPr>
        <w:br/>
        <w:t xml:space="preserve">ros környezetből származó, kezeletlen és CD (RAMEB és CRYSMEB) jelenlétében termelt</w:t>
      </w:r>
      <w:r>
        <w:rPr>
          <w:color w:val="000000"/>
          <w:sz w:val="24"/>
          <w:szCs w:val="24"/>
        </w:rPr>
        <w:br/>
        <w:t xml:space="preserve">EV-k migrációra gyakorolt hatását Mel Pt4 és HaCaT sejtvonalakon. Az EV-k nem befolyá-</w:t>
      </w:r>
      <w:r>
        <w:rPr>
          <w:color w:val="000000"/>
          <w:sz w:val="24"/>
          <w:szCs w:val="24"/>
        </w:rPr>
        <w:br/>
        <w:t xml:space="preserve">solták a sejtek életképességét, és csak csekély hatással voltak a migrációra. Összességében</w:t>
      </w:r>
      <w:r>
        <w:rPr>
          <w:color w:val="000000"/>
          <w:sz w:val="24"/>
          <w:szCs w:val="24"/>
        </w:rPr>
        <w:br/>
        <w:t xml:space="preserve">eredményeink arra engednek következtetni, hogy a CD-k jótékony szerepet játszhatnak az</w:t>
      </w:r>
      <w:r>
        <w:rPr>
          <w:color w:val="000000"/>
          <w:sz w:val="24"/>
          <w:szCs w:val="24"/>
        </w:rPr>
        <w:br/>
        <w:t xml:space="preserve">EV-közvetített sejtközi kommunikációt célzó onkológiai terápiákban.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368674">
    <w:multiLevelType w:val="hybridMultilevel"/>
    <w:lvl w:ilvl="0" w:tplc="205428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368674">
    <w:abstractNumId w:val="853686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22787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