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AJTAY</w:t>
            </w:r>
          </w:p>
          <w:p w:rsidR="00C275A3" w:rsidRDefault="00CA6B74" w:rsidP="00C275A3">
            <w:pPr>
              <w:pStyle w:val="Hallgatokepzes"/>
            </w:pPr>
            <w:r w:rsidRPr="001067CD">
              <w:rPr>
                <w:i/>
              </w:rPr>
              <w:t>ajtay.adrienn@gmail.com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 PhD</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management of micro-, small and medium-sized enterprises in Budapest in times of exogenous crises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crisis management; SME; financial stability; financial toolkit; state subsidies</w:t>
      </w:r>
      <w:r>
        <w:t xml:space="preserve"/>
      </w:r>
    </w:p>
    <w:p>
      <w:pPr>
        <w:widowControl w:val="on"/>
        <w:pBdr/>
        <w:spacing w:before="240" w:after="240" w:line="240" w:lineRule="auto"/>
        <w:ind w:left="0" w:right="0"/>
        <w:jc w:val="left"/>
      </w:pPr>
      <w:r>
        <w:rPr>
          <w:color w:val="000000"/>
          <w:sz w:val="24"/>
          <w:szCs w:val="24"/>
        </w:rPr>
        <w:t xml:space="preserve">In 2024, the effects of the Covid-19 pandemic, the energy crisis, and inflation impacted all businesses. Challenging times often highlight issues and responses that can contain useful elements for entrepreneurs of all eras.</w:t>
      </w:r>
      <w:r>
        <w:rPr>
          <w:color w:val="000000"/>
          <w:sz w:val="24"/>
          <w:szCs w:val="24"/>
        </w:rPr>
        <w:br/>
        <w:t xml:space="preserve">A business can face numerous external and internal crises, but financial stability is a fundamental condition for building resilience against crisis situations. My research aims to provide answers to entrepreneurs who have experienced exchange rate risks, order declines, funding shortages, or cost increases during the exogenous crises of recent years. In my research question, I sought to identify the risk management, planning, and evaluation procedures that support liquidity, stability, and financing, which have positively impacted the finances of businesses.</w:t>
      </w:r>
      <w:r>
        <w:rPr>
          <w:color w:val="000000"/>
          <w:sz w:val="24"/>
          <w:szCs w:val="24"/>
        </w:rPr>
        <w:br/>
        <w:t xml:space="preserve">Following a review of the academic literature that assists entrepreneurs in making financial decisions, I conducted quantitative research using statistical and financial indicators to perform a complex analysis of the companies selected as the focus of my research. Subsequently, through interviews with more than twenty CEOs and CFOs of Budapest-based SMEs, I had the opportunity to learn about their currently successful financial toolkits. The tabular summary of the data, along with further statistical analysis, allowed me to identify patterns based on specific characteristics in the application of various measures.</w:t>
      </w:r>
      <w:r>
        <w:rPr>
          <w:color w:val="000000"/>
          <w:sz w:val="24"/>
          <w:szCs w:val="24"/>
        </w:rPr>
        <w:br/>
        <w:t xml:space="preserve">The quantitative research conducted to validate my second hypothesis supports that the external crises experienced by Budapest-based SMEs can broaden the range of measures they apply to ensure financial stability.</w:t>
      </w:r>
      <w:r>
        <w:rPr>
          <w:color w:val="000000"/>
          <w:sz w:val="24"/>
          <w:szCs w:val="24"/>
        </w:rPr>
        <w:br/>
        <w:t xml:space="preserve">In conclusion, this study has revealed new correlations between the macroeconomic challenges affecting businesses and the types of financial measures they employ. My thesis not only highlighted the importance of deepening financial awareness among business leaders but also expanded the literature on business development with a new perspective by collecting practically applicable measures.</w:t>
      </w:r>
      <w:r>
        <w:rPr>
          <w:color w:val="000000"/>
          <w:sz w:val="24"/>
          <w:szCs w:val="24"/>
        </w:rPr>
        <w:br/>
        <w:t xml:space="preserve">The research was carried out with the support of the National Research, Development and Innovation Fund of the Ministry of Culture and Innovation, within the framework of the University Research Scholarship Program.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67960">
    <w:multiLevelType w:val="hybridMultilevel"/>
    <w:lvl w:ilvl="0" w:tplc="89069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67960">
    <w:abstractNumId w:val="75067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805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