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MARCELL OSZTOVITS</w:t>
            </w:r>
          </w:p>
          <w:p w:rsidR="00C275A3" w:rsidRDefault="00CA6B74" w:rsidP="00C275A3">
            <w:pPr>
              <w:pStyle w:val="Hallgatokepzes"/>
            </w:pPr>
            <w:r w:rsidRPr="001067CD">
              <w:rPr>
                <w:i/>
              </w:rPr>
              <w:t>marciosztovits@gmail.com</w:t>
            </w:r>
            <w:r w:rsidRPr="001067CD">
              <w:rPr>
                <w:i/>
              </w:rPr>
              <w:br/>
            </w:r>
            <w:r w:rsidR="00A96AEC">
              <w:t>Finance and accounting</w:t>
            </w:r>
            <w:r w:rsidR="00A96AEC">
              <w:br/>
            </w:r>
            <w:r w:rsidR="00E77B23">
              <w:t>BA, 7. semester</w:t>
            </w:r>
          </w:p>
          <w:p w:rsidR="00C265CE" w:rsidRPr="009E5FF1" w:rsidRDefault="00E77B23" w:rsidP="00BA6BAF">
            <w:pPr>
              <w:pStyle w:val="Hallgatointezmeny-kar"/>
              <w:rPr>
                <w:b/>
                <w:caps/>
              </w:rPr>
            </w:pPr>
            <w:r>
              <w:t>Budapest Business University</w:t>
            </w:r>
            <w:r w:rsidR="00C275A3">
              <w:br/>
            </w:r>
            <w:r w:rsidR="00DB4822">
              <w:t>College of Finance and Accountancy</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Zoltán Pollák</w:t>
            </w:r>
          </w:p>
          <w:p w:rsidR="00DB4822" w:rsidRDefault="00DB4822" w:rsidP="00BA6BAF">
            <w:pPr>
              <w:pStyle w:val="Konzulensektitulus"/>
            </w:pPr>
            <w:r w:rsidRPr="00DB4822">
              <w:t>associate professor, BGE PSZK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key to succesful investing: Sector-rotation in the light of economic-cycles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sector rotation; economic cycle; momentum; investment strategy; macroeconomics</w:t>
      </w:r>
      <w:r>
        <w:t xml:space="preserve"/>
      </w:r>
    </w:p>
    <w:p>
      <w:pPr>
        <w:widowControl w:val="on"/>
        <w:pBdr/>
        <w:spacing w:before="240" w:after="240" w:line="240" w:lineRule="auto"/>
        <w:ind w:left="0" w:right="0"/>
        <w:jc w:val="left"/>
      </w:pPr>
      <w:r>
        <w:rPr>
          <w:color w:val="000000"/>
          <w:sz w:val="24"/>
          <w:szCs w:val="24"/>
        </w:rPr>
        <w:t xml:space="preserve">The aim of my thesis is to analyze the effectiveness of the sector rotation investment strategy in the American and European markets. The central question of the research is whether a sector rotation strategy, developed by considering macroeconomic indicators and technical factors, can outperform the market average, and how changes in economic cycles impact the performance of sectors and the long-term success of a portfolio constructed using such a strategy.</w:t>
      </w:r>
      <w:r>
        <w:rPr>
          <w:color w:val="000000"/>
          <w:sz w:val="24"/>
          <w:szCs w:val="24"/>
        </w:rPr>
        <w:br/>
        <w:t xml:space="preserve">The methodology of the research is based on the 11 sectors defined by Morningstar, examining their performance in the American and European markets using data available from 2000 onwards. In each sector, I analyzed the monthly returns of the 10 companies with the largest market capitalization. The weighting of the sectors was determined using macroeconomic indicators—such as the unemployment rate, consumer confidence index, central bank interest rates, and yield curve—and technical indicators (momentum). The portfolio's weighting was adjusted monthly based on these variables.</w:t>
      </w:r>
      <w:r>
        <w:rPr>
          <w:color w:val="000000"/>
          <w:sz w:val="24"/>
          <w:szCs w:val="24"/>
        </w:rPr>
        <w:br/>
        <w:t xml:space="preserve">The results showed that the sector rotation strategy outperformed the market average in both the American and European markets. However, it cannot be conclusively stated that the outperformance was solely due to the developed strategy, as companies in the outperforming sectors might have achieved exceptional returns for other reasons as well. Consequently, the analysis does not provide full certainty that the results were exclusively attributable to the sector rotation strategy, and further analyses are necessary for a deeper understanding of the strategy.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314892">
    <w:multiLevelType w:val="hybridMultilevel"/>
    <w:lvl w:ilvl="0" w:tplc="2843536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314892">
    <w:abstractNumId w:val="7331489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3288633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