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SZÉLES</w:t>
            </w:r>
          </w:p>
          <w:p w:rsidR="00C275A3" w:rsidRDefault="00CA6B74" w:rsidP="00C275A3">
            <w:pPr>
              <w:pStyle w:val="Hallgatokepzes"/>
            </w:pPr>
            <w:r w:rsidRPr="001067CD">
              <w:rPr>
                <w:i/>
              </w:rPr>
              <w:t>szelesriki@gmail.com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w:t>
            </w:r>
          </w:p>
          <w:p w:rsidR="00DB4822" w:rsidRDefault="00DB4822" w:rsidP="00BA6BAF">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personal income tax credits and family support schemes on demographic change in V4 countries, in particular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declining population, Visegrad countries, tax credits, family support, European Union</w:t>
      </w:r>
      <w:r>
        <w:t xml:space="preserve"/>
      </w:r>
    </w:p>
    <w:p>
      <w:pPr>
        <w:widowControl w:val="on"/>
        <w:pBdr/>
        <w:spacing w:before="240" w:after="240" w:line="240" w:lineRule="auto"/>
        <w:ind w:left="0" w:right="0"/>
        <w:jc w:val="left"/>
      </w:pPr>
      <w:r>
        <w:rPr>
          <w:color w:val="000000"/>
          <w:sz w:val="24"/>
          <w:szCs w:val="24"/>
        </w:rPr>
        <w:br/>
        <w:t xml:space="preserve">In my thesis, I seek to answer how personal income tax credits impact the demographic indicators of the Visegrad countries. I examine whether tax credits influence families in terms of having children and identify the number of children at which the child-related tax benefits are most effective. I compare the personal income tax systems and family support schemes of the four countries, as well as their demographic indicators. These indicators include, among others, the proportion of people under 15 years of age and the net migration balance.</w:t>
      </w:r>
    </w:p>
    <w:p>
      <w:pPr>
        <w:widowControl w:val="on"/>
        <w:pBdr/>
        <w:spacing w:before="240" w:after="240" w:line="240" w:lineRule="auto"/>
        <w:ind w:left="0" w:right="0"/>
        <w:jc w:val="left"/>
      </w:pPr>
      <w:r>
        <w:rPr>
          <w:color w:val="000000"/>
          <w:sz w:val="24"/>
          <w:szCs w:val="24"/>
        </w:rPr>
        <w:t xml:space="preserve">In my research, I use a mix of correlation analysis, descriptive statistics, and cluster analysis with the help of SPSS software to process statistical data. To ensure the comparability and evaluation of the data, the thesis also examines the European Union averages.</w:t>
      </w:r>
    </w:p>
    <w:p>
      <w:pPr>
        <w:widowControl w:val="on"/>
        <w:pBdr/>
        <w:spacing w:before="240" w:after="240" w:line="240" w:lineRule="auto"/>
        <w:ind w:left="0" w:right="0"/>
        <w:jc w:val="left"/>
      </w:pPr>
      <w:r>
        <w:rPr>
          <w:color w:val="000000"/>
          <w:sz w:val="24"/>
          <w:szCs w:val="24"/>
        </w:rPr>
        <w:t xml:space="preserve">The results of my research not only highlight the declining population and aging demographic profile in developed countries but also reveal that personal income tax credits provide the greatest financial assistance to families with one or two children. Furthermore, the number of children is generally lower in households affected by divorce, while no such evidence exists for households in ongoing marriages. Regarding monetary family support, all V4 countries lag behind the European Union average.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44220">
    <w:multiLevelType w:val="hybridMultilevel"/>
    <w:lvl w:ilvl="0" w:tplc="46742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44220">
    <w:abstractNumId w:val="72244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26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