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BIBORKA</w:t>
            </w:r>
          </w:p>
          <w:p w:rsidR="00C275A3" w:rsidRDefault="00CA6B74" w:rsidP="00C275A3">
            <w:pPr>
              <w:pStyle w:val="Hallgatokepzes"/>
            </w:pPr>
            <w:r w:rsidRPr="001067CD">
              <w:rPr>
                <w:i/>
              </w:rPr>
              <w:t>kiss.biborka@gmail.com</w:t>
            </w:r>
            <w:r w:rsidRPr="001067CD">
              <w:rPr>
                <w:i/>
              </w:rPr>
              <w:br/>
            </w:r>
            <w:r w:rsidR="00A96AEC">
              <w:t>Nemzetközi Gazdálkodás</w:t>
            </w:r>
            <w:r w:rsidR="00A96AEC">
              <w:br/>
            </w:r>
            <w:r w:rsidR="00E77B23">
              <w:t>BA, 3.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Gyene Pál István</w:t>
            </w:r>
          </w:p>
          <w:p w:rsidR="00DB4822" w:rsidRDefault="00DB4822" w:rsidP="00BA6BAF">
            <w:pPr>
              <w:pStyle w:val="Konzulensektitulus"/>
            </w:pPr>
            <w:r w:rsidRPr="00DB4822">
              <w:t>egyetemi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Orosz-Ukrán Háború Hatásai az Eurázsiai Gazdasági Unióra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Eurázsiai Gazdasági Unió; orosz-ukrán háború; gazdasági integráció; regionális integráció; posztszovjet térség</w:t>
      </w:r>
      <w:r>
        <w:t xml:space="preserve"/>
      </w:r>
    </w:p>
    <w:p>
      <w:pPr>
        <w:widowControl w:val="on"/>
        <w:pBdr/>
        <w:spacing w:before="240" w:after="240" w:line="240" w:lineRule="auto"/>
        <w:ind w:left="0" w:right="0"/>
        <w:jc w:val="left"/>
      </w:pPr>
      <w:r>
        <w:rPr>
          <w:color w:val="000000"/>
          <w:sz w:val="24"/>
          <w:szCs w:val="24"/>
        </w:rPr>
        <w:t xml:space="preserve">A Szovjetunió felbomlása után az Orosz Föderáció elvesztette globális szuperhatalmi státuszát, ami a jelenlegi multipoláris világrend kialakulásához vezetett. Az újonnan szuverénné vált tizennégy posztszovjet állam továbbra is különböző mértékben kötődött Oroszországhoz. Ezek az államok négy régióba sorolhatók: a balti államok (Észtország, Lettország, Litvánia), az Európai Unióval határos országok (Ukrajna, Moldova, Fehéroroszország), a kaukázusi országok (Örményország, Azerbajdzsán, Grúzia) és a közép-ázsiai államok (Kazahsztán, Kirgizisztán, Üzbegisztán, Tádzsikisztán, Türkmenisztán). Az utódállamok eltérő földrajzi, politikai és gazdasági helyzete különböző fejlődési irányokat eredményezett. Míg a balti országok minimalizálták az orosz befolyást, és csatlakoztak az Európai Unióhoz, addig egyes közép-ázsiai államok továbbra is gazdaságilag és társadalmilag függésben maradtak Oroszországtól. Az elmúlt évtizedekben Oroszország egyre inkább integrációk révén próbálta érvényesíteni regionális befolyását az érdekszférájába tartozó területeken, amelynek egyik példája az Eurázsiai Gazdasági Unió (EAEU).</w:t>
      </w:r>
    </w:p>
    <w:p>
      <w:pPr>
        <w:widowControl w:val="on"/>
        <w:pBdr/>
        <w:spacing w:before="240" w:after="240" w:line="240" w:lineRule="auto"/>
        <w:ind w:left="0" w:right="0"/>
        <w:jc w:val="left"/>
      </w:pPr>
      <w:r>
        <w:rPr>
          <w:color w:val="000000"/>
          <w:sz w:val="24"/>
          <w:szCs w:val="24"/>
        </w:rPr>
        <w:br/>
        <w:t xml:space="preserve">2022-ben Oroszország Ukrajna elleni támadása és az azt követő háború átrajzolta a globális erőviszonyokat. A dolgozat azt vizsgálja, hogy ez a konfliktus miként hatott az EAEU-ra, annak regionális gazdasági szervezetként betöltött szerepére, valamint a térséget érintő globális hatalmi dinamikákra. Fő kérdése, hogy Oroszország veszít-e befolyásából más nagyhatalmak, például Kína vagy az Európai Unió javára. Az elemzés az EAEU-tagállamok (Oroszország, Örményország, Belarusz, Kazahsztán és Kirgizisztán) politikai és gazdasági helyzetének esettanulmányaira épül, figyelembe véve az EAEU egészének makrogazdasági és külpolitikai irányvonalait.</w:t>
      </w:r>
    </w:p>
    <w:p>
      <w:pPr>
        <w:widowControl w:val="on"/>
        <w:pBdr/>
        <w:spacing w:before="240" w:after="240" w:line="240" w:lineRule="auto"/>
        <w:ind w:left="0" w:right="0"/>
        <w:jc w:val="left"/>
      </w:pPr>
      <w:r>
        <w:rPr>
          <w:color w:val="000000"/>
          <w:sz w:val="24"/>
          <w:szCs w:val="24"/>
        </w:rPr>
        <w:br/>
        <w:t xml:space="preserve">Az eredmények azt mutatják, hogy bár Oroszország befolyása továbbra is jelentős, a háborús gazdaság és a nyugati szankciók jelentősen korlátozták a régió feletti hatalmát. Az erőforráshiány miatt Moszkva veszít hagyományos szövetségeseinek támogatásából, míg a korábban tőle függő országok egyre inkább nyitnak harmadik országok befektetői felé. Az EAEU, mint az első működőképes orosz központú gazdasági integrációs kezdeményezés, különösen érintett ebben a folyamatban. Fejlődése megtorpant, miközben az orosz-ukrán háború a harmadik évébe lép.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75128">
    <w:multiLevelType w:val="hybridMultilevel"/>
    <w:lvl w:ilvl="0" w:tplc="87310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75128">
    <w:abstractNumId w:val="60175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8607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