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BIBORKA KISS</w:t>
            </w:r>
          </w:p>
          <w:p w:rsidR="00C275A3" w:rsidRDefault="00CA6B74" w:rsidP="00C275A3">
            <w:pPr>
              <w:pStyle w:val="Hallgatokepzes"/>
            </w:pPr>
            <w:r w:rsidRPr="001067CD">
              <w:rPr>
                <w:i/>
              </w:rPr>
              <w:t>kiss.biborka@gmail.com</w:t>
            </w:r>
            <w:r w:rsidRPr="001067CD">
              <w:rPr>
                <w:i/>
              </w:rPr>
              <w:br/>
            </w:r>
            <w:r w:rsidR="00A96AEC">
              <w:t>International Business Economics</w:t>
            </w:r>
            <w:r w:rsidR="00A96AEC">
              <w:br/>
            </w:r>
            <w:r w:rsidR="00E77B23">
              <w:t>BA, 3.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Pál István Gyene</w:t>
            </w:r>
          </w:p>
          <w:p w:rsidR="00DB4822" w:rsidRDefault="00DB4822" w:rsidP="00BA6BAF">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the Russia-Ukraine War on the Eurasian Economic Union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EAEU; regional integration; economic integration; post-Soviet region; Russia-Ukraine War</w:t>
      </w:r>
      <w:r>
        <w:t xml:space="preserve"/>
      </w:r>
    </w:p>
    <w:p>
      <w:pPr>
        <w:widowControl w:val="on"/>
        <w:pBdr/>
        <w:spacing w:before="240" w:after="240" w:line="240" w:lineRule="auto"/>
        <w:ind w:left="0" w:right="0"/>
        <w:jc w:val="left"/>
      </w:pPr>
      <w:r>
        <w:rPr>
          <w:color w:val="000000"/>
          <w:sz w:val="24"/>
          <w:szCs w:val="24"/>
        </w:rPr>
        <w:t xml:space="preserve">After the dissolution of the Soviet Union, the successor Russian Federation has lost its standing as a global superpower, beginning the global power inequality that led to our current multipolar world order. The other, newly sovereign fourteen states (i.e. post-Soviet states) remained tied to Russia in one way or another. These states can be grouped into four categories: three Baltic states (Latvia, Lithuania, Estonia), three states bordering Europe (Ukraine, Moldova, Belarus), three in the Caucasus region (Armenia, Azerbaijan, Georgia) and five in Central Asia (Kazakhstan, Kyrgyzstan, Uzbekistan, Tajikistan, Turkmenistan). The heterogeneity of the successor states paved the way to radically different prospects of development. Some, such as the Baltic states minimized the Russian influence over their countries and joined the European Union (EU), whilst others, such as certain Central Asian nations remained economically and socially dependent on the Russian Federation. During the past thirty years, Russia aimed to exercise its trans-border regional influence on what we consider its traditional zone of interest increasingly through integrations. One such integration is the Eurasian Economic Union (EAEU).</w:t>
      </w:r>
    </w:p>
    <w:p>
      <w:pPr>
        <w:widowControl w:val="on"/>
        <w:pBdr/>
        <w:spacing w:before="240" w:after="240" w:line="240" w:lineRule="auto"/>
        <w:ind w:left="0" w:right="0"/>
        <w:jc w:val="left"/>
      </w:pPr>
      <w:r>
        <w:rPr>
          <w:color w:val="000000"/>
          <w:sz w:val="24"/>
          <w:szCs w:val="24"/>
        </w:rPr>
        <w:br/>
        <w:t xml:space="preserve">In 2022, the attack of Russia on Ukraine and the proceeding war reshuffled the cards of Russia’s global influence zones. This paper is aimed at showcasing how the Russia-Ukraine war has affected the EAEU, its prospects as a regional economic international organization and the global power dynamics influencing the region. It aims to answer whether or not the Russian Federation is losing ground to other global powers such as China or the European Union. The analysis is conducted based on case studies of the EAEU member states, their political and economic affiliations, as well as considering the macroeconomic and foreign policy directions of the EAEU as a whole.</w:t>
      </w:r>
    </w:p>
    <w:p>
      <w:pPr>
        <w:widowControl w:val="on"/>
        <w:pBdr/>
        <w:spacing w:before="240" w:after="240" w:line="240" w:lineRule="auto"/>
        <w:ind w:left="0" w:right="0"/>
        <w:jc w:val="left"/>
      </w:pPr>
      <w:r>
        <w:rPr>
          <w:color w:val="000000"/>
          <w:sz w:val="24"/>
          <w:szCs w:val="24"/>
        </w:rPr>
        <w:br/>
        <w:t xml:space="preserve">The study concludes that even though the Russian influence on the region remains strong, the wartime economy and western economic sanctions had a severe impact on Russia’s capacity to exercise its power over the region. Due to limited resources, it is losing the support of traditional allies, whilst previously dependent nations are opening their markets to third-country investors. The EAEU, being the first functional attempt of a Russia-centered economic integration, is severely affected by this phenomenon and sees its development halted as the Russia-Ukraine war rounds on its third year.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05272">
    <w:multiLevelType w:val="hybridMultilevel"/>
    <w:lvl w:ilvl="0" w:tplc="67920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05272">
    <w:abstractNumId w:val="25305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90500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