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ANH DUONG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anhduong.fimb.bbs@gmail.com</w:t>
            </w:r>
            <w:r w:rsidRPr="001067CD">
              <w:rPr>
                <w:i/>
              </w:rPr>
              <w:br/>
            </w:r>
            <w:r w:rsidR="00A96AEC">
              <w:t>nemzetközi üzleti gazdaságtan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Czelleng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FEDEZETLEN KAMATPARITÁS AZ ASEAN ORSZÁGOKBAN ARDL HATÁROK VIZSGÁLATI MEGKÖZELÍTÉSÉVEL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Uncovered Interest Parity, ASEAN, Exchange rate stability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országokban végzett kiterjedt kutatások ellenére a Uncovered Interest Parity (UIP) tekintetében hiányoznak az empirikus bizonyítékok a feltörekvő gazdaságokból, különösen az ASEAN-országokból. Ez a tanulmány ezt a hiányosságot kívánja orvosolni a következő kutatási kérdések megválaszolásával:</w:t>
      </w:r>
      <w:r>
        <w:rPr>
          <w:color w:val="000000"/>
          <w:sz w:val="24"/>
          <w:szCs w:val="24"/>
        </w:rPr>
        <w:br/>
        <w:t xml:space="preserve">1. Érvényes-e a fedezetlen kamatparitás (UIP) hipotézise az öt közepes jövedelmű ASEAN-országban?</w:t>
      </w:r>
      <w:r>
        <w:rPr>
          <w:color w:val="000000"/>
          <w:sz w:val="24"/>
          <w:szCs w:val="24"/>
        </w:rPr>
        <w:br/>
        <w:t xml:space="preserve">2. Létezik-e hosszú távú kointegrációs kapcsolat a kamatkülönbözetek és az árfolyam-hozam között ezekben az országokban?</w:t>
      </w:r>
      <w:r>
        <w:rPr>
          <w:color w:val="000000"/>
          <w:sz w:val="24"/>
          <w:szCs w:val="24"/>
        </w:rPr>
        <w:br/>
        <w:t xml:space="preserve">3. Hogyan befolyásolják az amerikai jegybank legutóbbi kamatemelései a régió tőkeáramlását?</w:t>
      </w:r>
      <w:r>
        <w:rPr>
          <w:color w:val="000000"/>
          <w:sz w:val="24"/>
          <w:szCs w:val="24"/>
        </w:rPr>
        <w:br/>
        <w:t xml:space="preserve">A tanulmány idősoros elemzést alkalmaz a UIP hipotézis vizsgálatára öt közepes jövedelmű ASEAN-országban (Vietnam, Thaiföld, Malajzia, Indonézia és a Fülöp-szigetek) a 2010 és 2023 közötti időszakban. a változók közötti kointegráció értékelésére. A Toda-Yamamoto Granger Non-kauzalitási tesztek célja a kamatláb és az árfolyam közötti dinamikus ok-okozati összefüggések vizsgálata, valamint az ARDL modellben a függő változó meghatározása.</w:t>
      </w:r>
      <w:r>
        <w:rPr>
          <w:color w:val="000000"/>
          <w:sz w:val="24"/>
          <w:szCs w:val="24"/>
        </w:rPr>
        <w:br/>
        <w:t xml:space="preserve">Az eredmények vegyes bizonyítékokat tárnak fel a UIP-re az ASEAN-5 országokban. Noha van bizonyos fokú hosszú távú kapcsolat a kamatláb-különbözetek és az árfolyam-hozamok között, az UIP egyik vizsgált országban sem állja meg a helyét. Az árfolyamok stabilizálását célzó jegybanki beavatkozások valószínűleg reagálni fognak az amerikai Fed kamatemelésére, és úgy tűnik, hozzájárulnak a UIP eltéréseihez. Ezek az eredmények azt sugallják, hogy míg az ASEAN-5 országok az árfolyam-stabilitást helyezik előtérbe, az UIP eltéréseinek fennmaradása profitlehetőséget kínál az arbitrázsok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24594">
    <w:multiLevelType w:val="hybridMultilevel"/>
    <w:lvl w:ilvl="0" w:tplc="60061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24594">
    <w:abstractNumId w:val="394245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389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