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ANH DUONG</w:t>
            </w:r>
          </w:p>
          <w:p w:rsidR="00C275A3" w:rsidRDefault="00CA6B74" w:rsidP="00C275A3">
            <w:pPr>
              <w:pStyle w:val="Hallgatokepzes"/>
            </w:pPr>
            <w:r w:rsidRPr="001067CD">
              <w:rPr>
                <w:i/>
              </w:rPr>
              <w:t>anhduong.fimb.bbs@gmail.com</w:t>
            </w:r>
            <w:r w:rsidRPr="001067CD">
              <w:rPr>
                <w:i/>
              </w:rPr>
              <w:br/>
            </w:r>
            <w:r w:rsidR="00A96AEC">
              <w:t>International Business Economics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Czelleng Ádám</w:t>
            </w:r>
          </w:p>
          <w:p w:rsidR="00DB4822" w:rsidRDefault="00DB4822" w:rsidP="00BA6BAF">
            <w:pPr>
              <w:pStyle w:val="Konzulensektitulus"/>
            </w:pPr>
            <w:r w:rsidRPr="00DB4822">
              <w:t>associate professor, BGE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Uncovered Interest parity in ASEAN countries with ARDL Bounds Testing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Uncovered Interest Parity, ASEAN, Exchange rate stability</w:t>
      </w:r>
      <w:r>
        <w:t xml:space="preserve"/>
      </w:r>
    </w:p>
    <w:p>
      <w:pPr>
        <w:widowControl w:val="on"/>
        <w:pBdr/>
        <w:spacing w:before="240" w:after="240" w:line="240" w:lineRule="auto"/>
        <w:ind w:left="0" w:right="0"/>
        <w:jc w:val="left"/>
      </w:pPr>
      <w:r>
        <w:rPr>
          <w:color w:val="000000"/>
          <w:sz w:val="24"/>
          <w:szCs w:val="24"/>
        </w:rPr>
        <w:t xml:space="preserve">Despite extensive research on Uncovered Interest Parity (UIP) in developed nations, there is a lack of empirical evidence from emerging economies, particularly ASEAN countries. This study aims to address this gap by answering the following research questions:</w:t>
      </w:r>
      <w:r>
        <w:rPr>
          <w:color w:val="000000"/>
          <w:sz w:val="24"/>
          <w:szCs w:val="24"/>
        </w:rPr>
        <w:br/>
        <w:t xml:space="preserve">1. Does the Uncovered Interest Parity (UIP) hypothesis hold in the five middle-income ASEAN countries?</w:t>
      </w:r>
      <w:r>
        <w:rPr>
          <w:color w:val="000000"/>
          <w:sz w:val="24"/>
          <w:szCs w:val="24"/>
        </w:rPr>
        <w:br/>
        <w:t xml:space="preserve">2. Does the long-term cointegration relationship exist between interest rate differentials and exchange rate returns in these countries?</w:t>
      </w:r>
      <w:r>
        <w:rPr>
          <w:color w:val="000000"/>
          <w:sz w:val="24"/>
          <w:szCs w:val="24"/>
        </w:rPr>
        <w:br/>
        <w:t xml:space="preserve">3. How do recent U.S. Federal Reserve interest rate hikes influence capital flows in the region?</w:t>
      </w:r>
      <w:r>
        <w:rPr>
          <w:color w:val="000000"/>
          <w:sz w:val="24"/>
          <w:szCs w:val="24"/>
        </w:rPr>
        <w:br/>
        <w:t xml:space="preserve">The study employs a time series analysis to investigate the UIP hypothesis in five middle-income ASEAN countries (Vietnam, Thailand, Malaysia, Indonesia, and the Philippines) during the period from 2010 to 2023. Autoregressive Distributed Lag (ARDL) Bounds Testing Approach is applied to assess cointegration between the variables. Toda-Yamamoto Granger Non-causality tests are conducted to examine the dynamic causal relationships between interest rate and exchange rate as well as to specify the dependent variable in the ARDL model.</w:t>
      </w:r>
      <w:r>
        <w:rPr>
          <w:color w:val="000000"/>
          <w:sz w:val="24"/>
          <w:szCs w:val="24"/>
        </w:rPr>
        <w:br/>
        <w:t xml:space="preserve">The findings reveal mixed evidence for UIP in the ASEAN-5 countries. While there is some degree of long-term relationship between interest rate differentials and exchange rate returns, UIP does not fully hold in any of the countries studied. Central bank interventions aimed at stabilizing exchange rates will likely respond to the U.S Fed’s rate hikes and appear to contribute to UIP deviations. These results suggest that while ASEAN-5 countries prioritize exchange rate stability, the persistence of UIP deviations offers profit opportunities for arbitrageurs.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87586">
    <w:multiLevelType w:val="hybridMultilevel"/>
    <w:lvl w:ilvl="0" w:tplc="28691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87586">
    <w:abstractNumId w:val="59587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291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