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MESZLÉNYI ISTVÁN</w:t>
            </w:r>
          </w:p>
          <w:p w:rsidR="00C275A3" w:rsidRDefault="00CA6B74" w:rsidP="00C275A3">
            <w:pPr>
              <w:pStyle w:val="Hallgatokepzes"/>
            </w:pPr>
            <w:r w:rsidRPr="001067CD">
              <w:rPr>
                <w:i/>
              </w:rPr>
              <w:t>isti.mesz5@gmail.com</w:t>
            </w:r>
            <w:r w:rsidRPr="001067CD">
              <w:rPr>
                <w:i/>
              </w:rPr>
              <w:br/>
            </w:r>
            <w:r w:rsidR="00A96AEC">
              <w:t>Nemzetközi Tanulmányok</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Unger Anna</w:t>
            </w:r>
          </w:p>
          <w:p w:rsidR="00DB4822" w:rsidRDefault="00DB4822" w:rsidP="00BA6BAF">
            <w:pPr>
              <w:pStyle w:val="Konzulensektitulus"/>
            </w:pPr>
            <w:r w:rsidRPr="00DB4822">
              <w:t>egyetemi docens,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demokratikus önvédelem észak-macedón modellje: ügyvivő kormánnyal a demokratikus visszacsúszás ellen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Nikola Gruevszki; militáns demokrácia; Európai Unió; parlamenti választások; Przino Egyezmény</w:t>
      </w:r>
      <w:r>
        <w:t xml:space="preserve"/>
      </w:r>
    </w:p>
    <w:p>
      <w:pPr>
        <w:widowControl w:val="on"/>
        <w:pBdr/>
        <w:spacing w:before="240" w:after="240" w:line="240" w:lineRule="auto"/>
        <w:ind w:left="0" w:right="0"/>
        <w:jc w:val="left"/>
      </w:pPr>
      <w:r>
        <w:rPr>
          <w:color w:val="000000"/>
          <w:sz w:val="24"/>
          <w:szCs w:val="24"/>
        </w:rPr>
        <w:t xml:space="preserve">Dolgozatomban azt a hipotézist járom körbe, hogy az Észak-macedóniai Köztársaságban 2015 óta beiktatott ügyvivő kormányok kimutatható hatást gyakoroltak a jogállamiságra és a demokratikus berendezkedés helyreállítására, ezen keresztül az ország európai uniós (EU) integrációjára is. Hipotézisem igazolásához vagy cáfolásához megvizsgáltam az ügyvivő kormányok szakirodalmát, amelyből kiderült, hogy az ügyvivő kormányok segítik orvosolni, de önmagukban nem adnak megoldást a demokráciát érintő kihívásokra. Az ügyvivő kormányok szoros kapcsolatban állnak a parlamenti választásokkal, ezért a választási igazgatási szerveket (EMB) és a választási megfigyeléssel is foglalkozó EBESZ jelentéseit is elemeztem. Ezekből kiderült, hogy az idő előrehaladtával nagyobb mértékben teljesült a szabad és tisztességes választások EU által támasztott feltétele, ami az ügyvivő kormányoknak és az EMB-knek is köszönhető. A Gruevszki-rendszer idején, 2006-2016 között megvalósult autokratizációt demokráciaelméleti fogalmakkal törekedtem leírni. Az erre adott válaszreakciót a demokratikus önvédelem egy fajtája, a militáns demokrácia irányából közelítettem meg. A militáns demokrácia a demokrácia fejlett önvédelmi képességeire utal. Az ügyvivő kormányok is a demokratikus önvédelem fejlesztéséről szólnak. A dolgozatomnak mindenekelőtt a Nyugat-Balkánon, azon belül az Észak-Macedóniában folytatott nagy- és középhatalmi versengés ad relevanciát a nemzetközi kapcsolatok diszciplínájában. Terjedelmi korlátok miatt csak az EU szerepével foglalkoztam mélyrehatóbban. Észak-Macedónia az EU-ba igyekszik, a csatlakozási tárgyalások azonban megrekedtek a Gruevszki-rendszer egy évtizedében. A 2011 és 2024 közötti időszakban kiadott EU és EBESZ országjelentések közül a 2016-os festette a legnegatívabb képet az országról a választások, a demokrácia, valamint a jogállamiság szempontjából. Az azóta eltelt szűk egy évtized a mérsékelt tempójú haladásról, a stabilizációról és a NATO-ba csatlakozásról szólt Észak-Macedónia számára. Az uniós integráció terén Gruevszki távozása és a kötelező ügyvivő kormányok (észak-macedón modell) kevésnek bizonyultak ahhoz, hogy áttörést érjenek el. A hipotézisem ennek ellenére nem tekinthető megcáfoltnak, ugyanis számos Észak-Macedónián kívüli tényező (bővítési fáradtság, bolgár vétó) hátráltatja a csatlakozási folyamatot, amelyben 2016 óta kisebb előrelépések történtek.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90925">
    <w:multiLevelType w:val="hybridMultilevel"/>
    <w:lvl w:ilvl="0" w:tplc="88125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90925">
    <w:abstractNumId w:val="84990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30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