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NARANZUL TSETSGEE</w:t>
            </w:r>
          </w:p>
          <w:p w:rsidR="00C275A3" w:rsidRDefault="00CA6B74" w:rsidP="00C275A3">
            <w:pPr>
              <w:pStyle w:val="Hallgatokepzes"/>
            </w:pPr>
            <w:r w:rsidRPr="001067CD">
              <w:rPr>
                <w:i/>
              </w:rPr>
              <w:t>naranzul0818@gmail.com</w:t>
            </w:r>
            <w:r w:rsidRPr="001067CD">
              <w:rPr>
                <w:i/>
              </w:rPr>
              <w:br/>
            </w:r>
            <w:r w:rsidR="00A96AEC">
              <w:t>Építészet</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Katona Ádám László PhD</w:t>
            </w:r>
          </w:p>
          <w:p w:rsidR="00DB4822" w:rsidRDefault="00DB4822" w:rsidP="00BA6BAF">
            <w:pPr>
              <w:pStyle w:val="Konzulensektitulus"/>
            </w:pPr>
            <w:r w:rsidRPr="00DB4822">
              <w:t>Adjunktus,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sikertelen energiaközösségi projektek okainak elemzése: A fenntartható kihívások és fejlesztési fázisok értékelése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Energiaközösségek; Fenntarthatóság; Megújuló energia; Kihívások; Energiaátmenet</w:t>
      </w:r>
      <w:r>
        <w:t xml:space="preserve"/>
      </w:r>
    </w:p>
    <w:p>
      <w:pPr>
        <w:widowControl w:val="on"/>
        <w:pBdr/>
        <w:spacing w:before="240" w:after="240" w:line="240" w:lineRule="auto"/>
        <w:ind w:left="0" w:right="0"/>
        <w:jc w:val="left"/>
      </w:pPr>
      <w:r>
        <w:rPr>
          <w:color w:val="000000"/>
          <w:sz w:val="24"/>
          <w:szCs w:val="24"/>
        </w:rPr>
        <w:t xml:space="preserve">Energy communities (ECs) are increasingly recognized as vital players in the global energy transition, contributing to sustainability, energy efficiency, and the reduction of greenhouse gas emissions. Despite their potential, many EC projects face significant challenges, leading to failures that undermine their long-term impact. This paper investigates the causes behind the failure of energy community projects, with a specific focus on understanding the socio-cultural, economic, and regulatory factors at play. The study analyzes the experiences of energy community stakeholders from eight different countries through comprehensive surveys, shedding light on the key obstacles that hinder the success of these initiatives. The findings highlight major barriers such as regulatory complexities, financial constraints, insufficient community engagement, and unclear project objectives. In addition, the study explores the sustainability challenges that impact the development and continuity of energy communities, including issues arising at different project stages. By analyzing these factors in-depth, the research provides valuable insights that can help inform policy decisions, risk mitigation strategies, and the planning processes of future energy community projects. Ultimately, the paper aims to contribute to the successful implementation and long-term sustainability of energy communities, ensuring they fulfill their critical role in the energy transition.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78242">
    <w:multiLevelType w:val="hybridMultilevel"/>
    <w:lvl w:ilvl="0" w:tplc="29408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78242">
    <w:abstractNumId w:val="40978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495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