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palmonika@icloud.com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Kokas Balázs Dla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Baranyai Bálint PhD habil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Önérnyékolás lehetősége az építészetben egy növényi példa alapján. Biomimikri kaktuszok az építészetben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kaktuszok; építészet; önárnyékolás; bordázat; energiahatékonyság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és globális felmelegedés napjainkban új feladatok elé állítja az építészetet. A</w:t>
      </w:r>
      <w:r>
        <w:rPr>
          <w:color w:val="000000"/>
          <w:sz w:val="24"/>
          <w:szCs w:val="24"/>
        </w:rPr>
        <w:br/>
        <w:t xml:space="preserve">túlmelegedés elleni védelem az épületek esetében egyre több helyen alapvető fontosságú, amelynek</w:t>
      </w:r>
      <w:r>
        <w:rPr>
          <w:color w:val="000000"/>
          <w:sz w:val="24"/>
          <w:szCs w:val="24"/>
        </w:rPr>
        <w:br/>
        <w:t xml:space="preserve">megoldására inspirációt meríthetünk a természetes környezetből. A kutatás azt vizsgálja, hogy milyen</w:t>
      </w:r>
      <w:r>
        <w:rPr>
          <w:color w:val="000000"/>
          <w:sz w:val="24"/>
          <w:szCs w:val="24"/>
        </w:rPr>
        <w:br/>
        <w:t xml:space="preserve">növényi példák hasznosíthatók ilyen célokra. A kaktuszok tipikusan olyan területeken élnek, ahol</w:t>
      </w:r>
      <w:r>
        <w:rPr>
          <w:color w:val="000000"/>
          <w:sz w:val="24"/>
          <w:szCs w:val="24"/>
        </w:rPr>
        <w:br/>
        <w:t xml:space="preserve">jellemzően magas a napsütéses órák száma és kevés a csapadék, evolúciójuk során a fenti</w:t>
      </w:r>
      <w:r>
        <w:rPr>
          <w:color w:val="000000"/>
          <w:sz w:val="24"/>
          <w:szCs w:val="24"/>
        </w:rPr>
        <w:br/>
        <w:t xml:space="preserve">körülményekhez minden elemükben alkalmazkodtak. A kiszáradás ellen esetükben olyan speciális</w:t>
      </w:r>
      <w:r>
        <w:rPr>
          <w:color w:val="000000"/>
          <w:sz w:val="24"/>
          <w:szCs w:val="24"/>
        </w:rPr>
        <w:br/>
        <w:t xml:space="preserve">bordarendszer fejlődött ki, amely önárnyékolás révén segít megakadályozni a növények túlhevülését.</w:t>
      </w:r>
      <w:r>
        <w:rPr>
          <w:color w:val="000000"/>
          <w:sz w:val="24"/>
          <w:szCs w:val="24"/>
        </w:rPr>
        <w:br/>
        <w:t xml:space="preserve">Ezt a mintát és arányrendszert modellezve létrejött egy kisléptékű lakóépület, amelyet energetikai</w:t>
      </w:r>
      <w:r>
        <w:rPr>
          <w:color w:val="000000"/>
          <w:sz w:val="24"/>
          <w:szCs w:val="24"/>
        </w:rPr>
        <w:br/>
        <w:t xml:space="preserve">szimulációs szoftverekkel vizsgálva kimutatható volt a hagyományos épületekhez viszonyított</w:t>
      </w:r>
      <w:r>
        <w:rPr>
          <w:color w:val="000000"/>
          <w:sz w:val="24"/>
          <w:szCs w:val="24"/>
        </w:rPr>
        <w:br/>
        <w:t xml:space="preserve">energiamegtakarítás mértéke. Ezek alapján meghatározhatók a tervezett épületforma előnyei és</w:t>
      </w:r>
      <w:r>
        <w:rPr>
          <w:color w:val="000000"/>
          <w:sz w:val="24"/>
          <w:szCs w:val="24"/>
        </w:rPr>
        <w:br/>
        <w:t xml:space="preserve">esetleges hátrányai.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62444">
    <w:multiLevelType w:val="hybridMultilevel"/>
    <w:lvl w:ilvl="0" w:tplc="5649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62444">
    <w:abstractNumId w:val="333624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849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