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LÉVAI DOMINIK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levaidominik@student.elte.hu</w:t>
            </w:r>
            <w:r w:rsidRPr="001067CD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Ivády Viktor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Kormányos Andor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Bórvakancia ponthiba grafén-hBN van der Waals heterostruktúrákban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bórvakancia, ponthiba, sűrűségfunkcionálelmélet, heterostruktúra, bórnitrid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 initio sűrűségfunkcionálelméleti (DFT) számolások és a szoroskötésű kö-</w:t>
      </w:r>
      <w:r>
        <w:rPr>
          <w:color w:val="000000"/>
          <w:sz w:val="24"/>
          <w:szCs w:val="24"/>
        </w:rPr>
        <w:br/>
        <w:t xml:space="preserve">zelítésből felállított elméleti modellek segítségével feltérképezzük a grafén és</w:t>
      </w:r>
      <w:r>
        <w:rPr>
          <w:color w:val="000000"/>
          <w:sz w:val="24"/>
          <w:szCs w:val="24"/>
        </w:rPr>
        <w:br/>
        <w:t xml:space="preserve">a hexagonális bórnitrid (hBN) sávszerkezetét, majd megvizsgálunk különbö-</w:t>
      </w:r>
      <w:r>
        <w:rPr>
          <w:color w:val="000000"/>
          <w:sz w:val="24"/>
          <w:szCs w:val="24"/>
        </w:rPr>
        <w:br/>
        <w:t xml:space="preserve">ző konfigurációjú grafén-hBN van der Waals (vdW) heterostruktúrákat, és</w:t>
      </w:r>
      <w:r>
        <w:rPr>
          <w:color w:val="000000"/>
          <w:sz w:val="24"/>
          <w:szCs w:val="24"/>
        </w:rPr>
        <w:br/>
        <w:t xml:space="preserve">összevetjük őket az önálló rétegekkel. Végül szemügyre vesszük a semleges</w:t>
      </w:r>
      <w:r>
        <w:rPr>
          <w:color w:val="000000"/>
          <w:sz w:val="24"/>
          <w:szCs w:val="24"/>
        </w:rPr>
        <w:br/>
        <w:t xml:space="preserve">(VB(0)), illetve negatívan töltött (VB(-)) bórvakancia ponthibák tulajdon-</w:t>
      </w:r>
      <w:r>
        <w:rPr>
          <w:color w:val="000000"/>
          <w:sz w:val="24"/>
          <w:szCs w:val="24"/>
        </w:rPr>
        <w:br/>
        <w:t xml:space="preserve">ságait hBN-ben, illetve grafén-hBN vdW heterostruktúrákban.</w:t>
      </w:r>
      <w:r>
        <w:rPr>
          <w:color w:val="000000"/>
          <w:sz w:val="24"/>
          <w:szCs w:val="24"/>
        </w:rPr>
        <w:br/>
        <w:t xml:space="preserve">A számolásokból kiderül, hogy a heterostruktúrák sávszerkezetében a gra-</w:t>
      </w:r>
      <w:r>
        <w:rPr>
          <w:color w:val="000000"/>
          <w:sz w:val="24"/>
          <w:szCs w:val="24"/>
        </w:rPr>
        <w:br/>
        <w:t xml:space="preserve">fén Dirac-pontja a hBN tiltott sávjának alsó harmadában található, konfigu-</w:t>
      </w:r>
      <w:r>
        <w:rPr>
          <w:color w:val="000000"/>
          <w:sz w:val="24"/>
          <w:szCs w:val="24"/>
        </w:rPr>
        <w:br/>
        <w:t xml:space="preserve">rációtól függően a valenciasávtól nézve körülbelül a tiltott sáv 0.23 − 0.28-ad</w:t>
      </w:r>
      <w:r>
        <w:rPr>
          <w:color w:val="000000"/>
          <w:sz w:val="24"/>
          <w:szCs w:val="24"/>
        </w:rPr>
        <w:br/>
        <w:t xml:space="preserve">részénél. Az is kiderül, hogy a hBN réteg hatására a grafénban megnyílik</w:t>
      </w:r>
      <w:r>
        <w:rPr>
          <w:color w:val="000000"/>
          <w:sz w:val="24"/>
          <w:szCs w:val="24"/>
        </w:rPr>
        <w:br/>
        <w:t xml:space="preserve">egy nagyságrendileg 100 meV-os tiltott sáv. A ponthibás számolásokban a</w:t>
      </w:r>
      <w:r>
        <w:rPr>
          <w:color w:val="000000"/>
          <w:sz w:val="24"/>
          <w:szCs w:val="24"/>
        </w:rPr>
        <w:br/>
        <w:t xml:space="preserve">bórvakancia alapállapotai energetikailag a Dirac-pont alá esnek, amiből az</w:t>
      </w:r>
      <w:r>
        <w:rPr>
          <w:color w:val="000000"/>
          <w:sz w:val="24"/>
          <w:szCs w:val="24"/>
        </w:rPr>
        <w:br/>
        <w:t xml:space="preserve">következik, hogy a grafénról elektronok tudnak átugrani a ponthibára, beál-</w:t>
      </w:r>
      <w:r>
        <w:rPr>
          <w:color w:val="000000"/>
          <w:sz w:val="24"/>
          <w:szCs w:val="24"/>
        </w:rPr>
        <w:br/>
        <w:t xml:space="preserve">lítva és stabilizálva a legkedvezőbb töltésállapotot, ami a VB(-)-nak adódott.</w:t>
      </w:r>
      <w:r>
        <w:rPr>
          <w:color w:val="000000"/>
          <w:sz w:val="24"/>
          <w:szCs w:val="24"/>
        </w:rPr>
        <w:br/>
        <w:t xml:space="preserve">A kutatás eredményei előrébb visznek minket azon az úton, hogy a jövőben a</w:t>
      </w:r>
      <w:r>
        <w:rPr>
          <w:color w:val="000000"/>
          <w:sz w:val="24"/>
          <w:szCs w:val="24"/>
        </w:rPr>
        <w:br/>
        <w:t xml:space="preserve">bórvakanciát majd hatékony spinqubitként lehessen alkalmazni a kvantum-</w:t>
      </w:r>
      <w:r>
        <w:rPr>
          <w:color w:val="000000"/>
          <w:sz w:val="24"/>
          <w:szCs w:val="24"/>
        </w:rPr>
        <w:br/>
        <w:t xml:space="preserve">informatika területén.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804904">
    <w:multiLevelType w:val="hybridMultilevel"/>
    <w:lvl w:ilvl="0" w:tplc="666759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804904">
    <w:abstractNumId w:val="898049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39297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