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KEREKES NIKOLETTA MELINDA</w:t>
            </w:r>
          </w:p>
          <w:p w:rsidR="00C275A3" w:rsidRDefault="00CA6B74" w:rsidP="00C275A3">
            <w:pPr>
              <w:pStyle w:val="Hallgatokepzes"/>
            </w:pPr>
            <w:r w:rsidRPr="001067CD">
              <w:rPr>
                <w:i/>
              </w:rPr>
              <w:t>kerekes.letti@gmail.com</w:t>
            </w:r>
            <w:r w:rsidRPr="001067CD">
              <w:rPr>
                <w:i/>
              </w:rPr>
              <w:br/>
            </w:r>
            <w:r w:rsidR="00A96AEC">
              <w:t>német és nemzetiségi német nyelv és kultúra tanára - magyartanár</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Feldné Knapp Ilona</w:t>
            </w:r>
          </w:p>
          <w:p w:rsidR="00DB4822" w:rsidRDefault="00DB4822" w:rsidP="00BA6BAF">
            <w:pPr>
              <w:pStyle w:val="Konzulensektitulus"/>
            </w:pPr>
            <w:r w:rsidRPr="00DB4822">
              <w:t>professor emerita,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Diszlexia és némettanulás - Tanulmány a diszlexiások németórai integrálásáról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Fremdsprachenunterricht, Schriftsprache, Lernstörung, Individualisierung, Kompensation</w:t>
      </w:r>
      <w:r>
        <w:t xml:space="preserve"/>
      </w:r>
    </w:p>
    <w:p>
      <w:pPr>
        <w:widowControl w:val="on"/>
        <w:pBdr/>
        <w:spacing w:before="240" w:after="240" w:line="240" w:lineRule="auto"/>
        <w:ind w:left="0" w:right="0"/>
        <w:jc w:val="left"/>
      </w:pPr>
      <w:r>
        <w:rPr>
          <w:color w:val="000000"/>
          <w:sz w:val="24"/>
          <w:szCs w:val="24"/>
        </w:rPr>
        <w:t xml:space="preserve">Eine der Herausforderungen des heutigen Bildungswesens ist die wachsende Anzahl von Kindern mit Lernschwierigkeiten. Dazu gehören auch die Legastheniker, deren integrierter Unterricht von den Lehrenden auch ermöglicht werden soll. Den oft überforderten Lehrkräften sollte es ermöglicht werden, in diesen Situationen nach einer festen Stütze greifen zu können, um sich auf diese Aufgabe ausreichend vorbereitet zu fühlen.</w:t>
      </w:r>
      <w:r>
        <w:rPr>
          <w:color w:val="000000"/>
          <w:sz w:val="24"/>
          <w:szCs w:val="24"/>
        </w:rPr>
        <w:br/>
        <w:t xml:space="preserve">Meine Forschung zielt auf die Untersuchung der spezifischen Merkmale des Deutschunterrichts und des Deutschlernens von ungarischen Legasthenikern ab. Dabei stellen sich vor allem die Fragen, mit welchen besonderen Schwierigkeiten Legastheniker beim Deutschlernen konfrontiert werden und welche didaktischen Prinzipien der Deutschunterricht bei Legasthenikern erfordert? Es wurde angenommen, dass Legastheniker auf mehreren Sprachebenen besondere Schwierigkeiten aufweisen können, die sie auf verschiedene Weise zu kompensieren versuchen. In Bezug auf die didaktischen Prinzipien wurde davon ausgegangen, dass Differenzierung und individuelle Förderung eine besondere Wichtigkeit zukommen.</w:t>
      </w:r>
      <w:r>
        <w:rPr>
          <w:color w:val="000000"/>
          <w:sz w:val="24"/>
          <w:szCs w:val="24"/>
        </w:rPr>
        <w:br/>
        <w:t xml:space="preserve">Zur Beantwortung der Leitfragen wurden vier Fallanalysen mit legasthenen Gymnasialschülern durchgeführt, die im Sinne der Triangulation jeweils aus drei Perspektiven untersucht wurden. Die qualitativ angelegte Forschung umfasst ein Schülerinterview, einen Leseverständnistest, gefolgt von einem retrospektiven Interview, eine Unterrichtsbeobachtung und ein Lehrerinterview. Die Datenauswertung erfolgte durch den Vergleich der aus den einzelnen Fällen gezogenen Schlussfolgerungen.</w:t>
      </w:r>
      <w:r>
        <w:rPr>
          <w:color w:val="000000"/>
          <w:sz w:val="24"/>
          <w:szCs w:val="24"/>
        </w:rPr>
        <w:br/>
        <w:t xml:space="preserve">Es wird sich herausstellen, dass es trotz der individuellen Besonderheiten der Fälle auch gemeinsame Schwierigkeiten gibt, in erster Linie im Bereich der Schriftsprache. Eine weitere spezifische Schwierigkeit der Legastheniker liegt auf der emotionalen Ebene, die durch die häufigen Misserfolgserlebnisse bedingt ist. Um ihre Schwierigkeiten zu überwinden, greifen die Schüler auf ihre kognitiven Fähigkeiten zurück und nutzen eine Vielzahl von Kompensationsmitteln. Die Lehrerinnen der Schüler folgen bewusst den Anforderungen des modernen Sprachunterrichts wie Individualisierung und Inhaltsorientierung, was zur erfolgreichen Integration ihrer legasthenen Schüler in die Gruppe beitrug.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22825">
    <w:multiLevelType w:val="hybridMultilevel"/>
    <w:lvl w:ilvl="0" w:tplc="74933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22825">
    <w:abstractNumId w:val="18122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944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