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VÉGH ANDRÁS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vegh.andras18@gmail.com</w:t>
            </w:r>
            <w:r w:rsidRPr="001067CD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Kalla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különleges kozmetikai edény szerepe a középasszír temetkezéseknél.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középasszír; pyxis; kvarckerámia; temetkezés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 dolgozatom témájának a középasszír kori kvarckerámia pyxisekkel foglalkoztam (Kr.e. 14-11. század). A témámnak a keretet az alapszakos szakdolgozatom adta. A szakdolgozatomban Mari középasszír temetkezéseivel foglalkoztam, ahonnan a legtöbb kvarckerámia pyxist ismerünk a régióból.</w:t>
      </w:r>
      <w:r>
        <w:rPr>
          <w:color w:val="000000"/>
          <w:sz w:val="24"/>
          <w:szCs w:val="24"/>
        </w:rPr>
        <w:br/>
        <w:t xml:space="preserve">Dolgozatom célja ezeknek a kvarckerámia pyxiseknek az értékét, interpretációját és elterjedését bemutatni. Ezen célok mellett a Mariban található kvarckerámia edényeknek is felállítottam egy helyi tipológiáját.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848666">
    <w:multiLevelType w:val="hybridMultilevel"/>
    <w:lvl w:ilvl="0" w:tplc="88956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848666">
    <w:abstractNumId w:val="238486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11351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