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GELLÉRT BANAI </w:t>
            </w:r>
          </w:p>
          <w:p w:rsidR="00C275A3" w:rsidRDefault="00CA6B74" w:rsidP="00C275A3">
            <w:pPr>
              <w:pStyle w:val="Hallgatokepzes"/>
            </w:pPr>
            <w:r w:rsidRPr="001067CD">
              <w:rPr>
                <w:i/>
              </w:rPr>
              <w:t>gellert.banai01@gmail.com</w:t>
            </w:r>
            <w:r w:rsidRPr="001067CD">
              <w:rPr>
                <w:i/>
              </w:rPr>
              <w:br/>
            </w:r>
            <w:r w:rsidR="00A96AEC">
              <w:t>applied aconomics</w:t>
            </w:r>
            <w:r w:rsidR="00A96AEC">
              <w:br/>
            </w:r>
            <w:r w:rsidR="00E77B23">
              <w:t>BSc, 5.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Olivér Miklós Rácz</w:t>
            </w:r>
          </w:p>
          <w:p w:rsidR="00DB4822" w:rsidRDefault="00DB4822" w:rsidP="00BA6BAF">
            <w:pPr>
              <w:pStyle w:val="Konzulensektitulus"/>
            </w:pPr>
            <w:r w:rsidRPr="00DB4822">
              <w:t>senior lecturer, BCE KTI</w:t>
            </w:r>
          </w:p>
        </w:tc>
      </w:tr>
      <w:tr w:rsidR="00DB4822" w:rsidTr="00DB4822">
        <w:tc>
          <w:tcPr>
            <w:tcW w:w="9854" w:type="dxa"/>
          </w:tcPr>
          <w:p w:rsidR="00DB4822" w:rsidRPr="00DB4822" w:rsidRDefault="00DB4822" w:rsidP="00BA6BAF">
            <w:pPr>
              <w:pStyle w:val="Konzulenseknev"/>
            </w:pPr>
            <w:r w:rsidRPr="00DB4822">
              <w:t>László Kovács</w:t>
            </w:r>
          </w:p>
          <w:p w:rsidR="00DB4822" w:rsidRDefault="00DB4822" w:rsidP="00BA6BAF">
            <w:pPr>
              <w:pStyle w:val="Konzulensektitulus"/>
            </w:pPr>
            <w:r w:rsidRPr="00DB4822">
              <w:t>senior lecturer,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Family Housing Support Programme (CSOK) on the Hungarian fertility rate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demography; fertility; CSOK</w:t>
      </w:r>
      <w:r>
        <w:t xml:space="preserve"/>
      </w:r>
    </w:p>
    <w:p>
      <w:pPr>
        <w:widowControl w:val="on"/>
        <w:pBdr/>
        <w:spacing w:before="240" w:after="240" w:line="240" w:lineRule="auto"/>
        <w:ind w:left="0" w:right="0"/>
        <w:jc w:val="left"/>
      </w:pPr>
      <w:r>
        <w:rPr>
          <w:color w:val="000000"/>
          <w:sz w:val="24"/>
          <w:szCs w:val="24"/>
        </w:rPr>
        <w:t xml:space="preserve">The persistently low fertility rate is an increasingly significant social and economic challenge in developed countries. In my research, I identify the impact of the Family Housing Support Programme (CSOK) introduced in Hungary in 2015 on the total fertility rate using synthetic control method (SCM). The main novelty of my research, both for Hungarian and international literature, is that I analyze the effects of a policy that indirectly incentivizes childbearing. According to my findings, the CSOK has had an impact on the rise in Hungary's total fertility rate, with an increase of more than 10 percent over the synthetic control within seven years after its introduction. This rise may also have been influenced by other childbearing incentives introduced from 2011 and the compensation for the fertility decline following the 2008 financial crisis. My results remain robust even when considering these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11172">
    <w:multiLevelType w:val="hybridMultilevel"/>
    <w:lvl w:ilvl="0" w:tplc="78299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11172">
    <w:abstractNumId w:val="26711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230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