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DÁNIEL BICZÓ</w:t>
            </w:r>
          </w:p>
          <w:p w:rsidR="00C275A3" w:rsidRDefault="00CA6B74" w:rsidP="00C275A3">
            <w:pPr>
              <w:pStyle w:val="Hallgatokepzes"/>
            </w:pPr>
            <w:r w:rsidRPr="001067CD">
              <w:rPr>
                <w:i/>
              </w:rPr>
              <w:t>biczodani.2003@gmail.com</w:t>
            </w:r>
            <w:r w:rsidRPr="001067CD">
              <w:rPr>
                <w:i/>
              </w:rPr>
              <w:br/>
            </w:r>
            <w:r w:rsidR="00A96AEC">
              <w:t>applied economics</w:t>
            </w:r>
            <w:r w:rsidR="00A96AEC">
              <w:br/>
            </w:r>
            <w:r w:rsidR="00E77B23">
              <w:t>BSc, 5.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MARGARÉTA DÓRA CSATÓ</w:t>
            </w:r>
          </w:p>
          <w:p w:rsidR="00DB4822" w:rsidRDefault="00CA6B74" w:rsidP="004D7940">
            <w:pPr>
              <w:pStyle w:val="Hallgatokepzes"/>
            </w:pPr>
            <w:r w:rsidRPr="001067CD">
              <w:rPr>
                <w:i/>
              </w:rPr>
              <w:t>margareta.csato@gmail.com</w:t>
            </w:r>
            <w:bookmarkStart w:id="1" w:name="_GoBack"/>
            <w:bookmarkEnd w:id="1"/>
            <w:r w:rsidRPr="001067CD">
              <w:br/>
            </w:r>
            <w:r w:rsidR="00C275A3">
              <w:t>Applied Economics</w:t>
            </w:r>
            <w:r w:rsidR="00A96AEC">
              <w:br/>
              <w:t>BSc, 5. semester</w:t>
            </w:r>
          </w:p>
          <w:p w:rsidR="00DB4822" w:rsidRDefault="00DB4822" w:rsidP="004D7940">
            <w:pPr>
              <w:pStyle w:val="Hallgatointezmeny-kar"/>
            </w:pPr>
            <w:r>
              <w:t>Corvinus University of Budapest</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Zoltán Madari</w:t>
            </w:r>
          </w:p>
          <w:p w:rsidR="00DB4822" w:rsidRDefault="00DB4822" w:rsidP="00BA6BAF">
            <w:pPr>
              <w:pStyle w:val="Konzulensektitulus"/>
            </w:pPr>
            <w:r w:rsidRPr="00DB4822">
              <w:t>assistant lecturer,  Institute of Data Analytics and Information Systems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Passenger count explosion? The real impact of the introduction of Hungary and county passes on passenger count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railways; simulation; measure</w:t>
      </w:r>
      <w:r>
        <w:t xml:space="preserve"/>
      </w:r>
    </w:p>
    <w:p>
      <w:pPr>
        <w:widowControl w:val="on"/>
        <w:pBdr/>
        <w:spacing w:before="240" w:after="240" w:line="240" w:lineRule="auto"/>
        <w:ind w:left="0" w:right="0"/>
        <w:jc w:val="left"/>
      </w:pPr>
      <w:r>
        <w:rPr>
          <w:color w:val="000000"/>
          <w:sz w:val="24"/>
          <w:szCs w:val="24"/>
        </w:rPr>
        <w:t xml:space="preserve">In this paper, we examine the impact on rail passenger traffic in Hungary of the country and counties passes introduced in May 2023, for which the Hungarian government has earmarked HUF 6 billion in subsidies. First we estimate whether the new season ticket system has caused a demand surplus and, if so, how much. In order to do this, we will first examine the impact of comparable, newly implemented, cheaper fare systems in an international context, and then estimate the exact impact of the country and county fares introduced in Hungary, using simulated control, based on data from MÁV-START Zrt. Results are of particular relevance because MÁV-START Zrt. did not publish concrete data on the number of new passengers and journeys generated by the introduction of country and counties passes on its railway lines. In our analysis, we found that of the 52 million additional passengers reported by the state-owned railway company in its announcements, we estimated that 29 million were attributable to the shift in demand caused by the new pass system.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036965">
    <w:multiLevelType w:val="hybridMultilevel"/>
    <w:lvl w:ilvl="0" w:tplc="187926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036965">
    <w:abstractNumId w:val="6403696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07963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