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 BERCHEGYI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berchegyi7@gmail.com</w:t>
            </w:r>
            <w:r w:rsidRPr="001067CD">
              <w:rPr>
                <w:i/>
              </w:rPr>
              <w:br/>
            </w:r>
            <w:r w:rsidR="00A96AEC">
              <w:t>Finance</w:t>
            </w:r>
            <w:r w:rsidR="00A96AEC">
              <w:br/>
            </w:r>
            <w:r w:rsidR="00E77B23">
              <w:t>BSc,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Csaba Milan Badics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Trump Reloaded – Green and Brown Energy Indexes Reaction to a New Climate Policy Era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Climate Policy; Energy Indexes; Event Study; Fossil Fuels; Market Reaction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Donald Trump’s 2024 reelection, coupled with his pro-fossil fuel stance, reshaped</w:t>
      </w:r>
      <w:r>
        <w:rPr>
          <w:color w:val="000000"/>
          <w:sz w:val="24"/>
          <w:szCs w:val="24"/>
        </w:rPr>
        <w:br/>
        <w:t xml:space="preserve">market expectations around U.S. climate policy. Building on shifts seen in the election</w:t>
      </w:r>
      <w:r>
        <w:rPr>
          <w:color w:val="000000"/>
          <w:sz w:val="24"/>
          <w:szCs w:val="24"/>
        </w:rPr>
        <w:br/>
        <w:t xml:space="preserve">of 2016, our event study analyze the reactions of green and brown energy stock</w:t>
      </w:r>
      <w:r>
        <w:rPr>
          <w:color w:val="000000"/>
          <w:sz w:val="24"/>
          <w:szCs w:val="24"/>
        </w:rPr>
        <w:br/>
        <w:t xml:space="preserve">indexes. We observed that Trump’s victory led to gains in brown energy indexes</w:t>
      </w:r>
      <w:r>
        <w:rPr>
          <w:color w:val="000000"/>
          <w:sz w:val="24"/>
          <w:szCs w:val="24"/>
        </w:rPr>
        <w:br/>
        <w:t xml:space="preserve">and declines in green energy indexes, with their differential nearly doubling compared</w:t>
      </w:r>
      <w:r>
        <w:rPr>
          <w:color w:val="000000"/>
          <w:sz w:val="24"/>
          <w:szCs w:val="24"/>
        </w:rPr>
        <w:br/>
        <w:t xml:space="preserve">to 2016. Results reveal an immediate, concentrated market response on election day,</w:t>
      </w:r>
      <w:r>
        <w:rPr>
          <w:color w:val="000000"/>
          <w:sz w:val="24"/>
          <w:szCs w:val="24"/>
        </w:rPr>
        <w:br/>
        <w:t xml:space="preserve">aligning with economic expectations about policy impacts on climate-sensitive sectors.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78051">
    <w:multiLevelType w:val="hybridMultilevel"/>
    <w:lvl w:ilvl="0" w:tplc="60510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78051">
    <w:abstractNumId w:val="710780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45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