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BALOGH</w:t>
            </w:r>
          </w:p>
          <w:p w:rsidR="00C275A3" w:rsidRDefault="00CA6B74" w:rsidP="00C275A3">
            <w:pPr>
              <w:pStyle w:val="Hallgatokepzes"/>
            </w:pPr>
            <w:r w:rsidRPr="001067CD">
              <w:rPr>
                <w:i/>
              </w:rPr>
              <w:t>baloghdavid02@icloud.com</w:t>
            </w:r>
            <w:r w:rsidRPr="001067CD">
              <w:rPr>
                <w:i/>
              </w:rPr>
              <w:br/>
            </w:r>
            <w:r w:rsidR="00A96AEC">
              <w:t>Economic and Financial Mathematical Analysis</w:t>
            </w:r>
            <w:r w:rsidR="00A96AEC">
              <w:br/>
            </w:r>
            <w:r w:rsidR="00E77B23">
              <w:t>Unified, 9.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ADAM JOSEPH BALOGH</w:t>
            </w:r>
          </w:p>
          <w:p w:rsidR="00DB4822" w:rsidRDefault="00CA6B74" w:rsidP="004D7940">
            <w:pPr>
              <w:pStyle w:val="Hallgatokepzes"/>
            </w:pPr>
            <w:r w:rsidRPr="001067CD">
              <w:rPr>
                <w:i/>
              </w:rPr>
              <w:t>0506baj@gmail.com</w:t>
            </w:r>
            <w:bookmarkStart w:id="1" w:name="_GoBack"/>
            <w:bookmarkEnd w:id="1"/>
            <w:r w:rsidRPr="001067CD">
              <w:br/>
            </w:r>
            <w:r w:rsidR="00C275A3">
              <w:t>business and management</w:t>
            </w:r>
            <w:r w:rsidR="00A96AEC">
              <w:br/>
              <w:t>BSc,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Nándor Szakmáry</w:t>
            </w:r>
          </w:p>
          <w:p w:rsidR="00DB4822" w:rsidRDefault="00DB4822" w:rsidP="00BA6BAF">
            <w:pPr>
              <w:pStyle w:val="Konzulensektitulus"/>
            </w:pPr>
            <w:r w:rsidRPr="00DB4822">
              <w:t>guest lecturer, BCE KIK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consumption trends on football clubs' revenues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football; household consumption; unbalanced panel; Bayesian panel model</w:t>
      </w:r>
      <w:r>
        <w:t xml:space="preserve"/>
      </w:r>
    </w:p>
    <w:p>
      <w:pPr>
        <w:widowControl w:val="on"/>
        <w:pBdr/>
        <w:spacing w:before="240" w:after="240" w:line="240" w:lineRule="auto"/>
        <w:ind w:left="0" w:right="0"/>
        <w:jc w:val="left"/>
      </w:pPr>
      <w:r>
        <w:rPr>
          <w:color w:val="000000"/>
          <w:sz w:val="24"/>
          <w:szCs w:val="24"/>
        </w:rPr>
        <w:t xml:space="preserve">The world of professional sport in the twentieth century has become a completely vulnerable to business and economic fluctuations. The importance of the industries built around sport worldwide is unquestionable, providing jobs and livelihoods for countless people, making the understanding of the subject an outstanding importance. Football is no exception, deeply embedded in Europe's cultural and economic fabric, and European cultural and economic life. However, football clubs, as the main shapers of this scene, are in many respects different from a classic company. One of these factors is their revenue which depends in an unusual way on the consumption habits of individuals. The question we seek to answer is how household consumption influences the income of football clubs. We expect this effect to be weakly pro-cyclical, so that clubs respond to variations in consumption in the same direction as the variation to a small extent. We investigated our research question using a Bayesian hierarchical mixed effects model, exploiting its robustness to small samples. Our results could not support our initial hypothesis, as the components of football club revenue respond very differently to changes in household consumption, making it impossible to draw a conclusion on aggregate income. Despite this our results show the expected pro-cyclical effect on clubs' broadcast revenues, while for commercial revenues our hypothesis was falsified and a countercyclical effect was found. These conclusions may help football clubs to develop resilient and long-term strategies,</w:t>
      </w:r>
      <w:r>
        <w:rPr>
          <w:color w:val="000000"/>
          <w:sz w:val="24"/>
          <w:szCs w:val="24"/>
        </w:rPr>
        <w:br/>
        <w:t xml:space="preserve">contributing to their economic success.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06067">
    <w:multiLevelType w:val="hybridMultilevel"/>
    <w:lvl w:ilvl="0" w:tplc="35355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06067">
    <w:abstractNumId w:val="87006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700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