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FERENCZ</w:t>
            </w:r>
          </w:p>
          <w:p w:rsidR="00C275A3" w:rsidRDefault="00CA6B74" w:rsidP="00C275A3">
            <w:pPr>
              <w:pStyle w:val="Hallgatokepzes"/>
            </w:pPr>
            <w:r w:rsidRPr="001067CD">
              <w:rPr>
                <w:i/>
              </w:rPr>
              <w:t>ferenczmarci03@gmail.com</w:t>
            </w:r>
            <w:r w:rsidRPr="001067CD">
              <w:rPr>
                <w:i/>
              </w:rPr>
              <w:br/>
            </w:r>
            <w:r w:rsidR="00A96AEC">
              <w:t>Business and management</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Madari</w:t>
            </w:r>
          </w:p>
          <w:p w:rsidR="00DB4822" w:rsidRDefault="00DB4822" w:rsidP="00BA6BAF">
            <w:pPr>
              <w:pStyle w:val="Konzulensektitulus"/>
            </w:pPr>
            <w:r w:rsidRPr="00DB4822">
              <w:t>assistant lecturer, BCE II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to win the Premier League?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Football; Panel data model; Performance indicators; Economic impact; Advanced statistical indicators</w:t>
      </w:r>
      <w:r>
        <w:t xml:space="preserve"/>
      </w:r>
    </w:p>
    <w:p>
      <w:pPr>
        <w:widowControl w:val="on"/>
        <w:pBdr/>
        <w:spacing w:before="240" w:after="240" w:line="240" w:lineRule="auto"/>
        <w:ind w:left="0" w:right="0"/>
        <w:jc w:val="left"/>
      </w:pPr>
      <w:r>
        <w:rPr>
          <w:color w:val="000000"/>
          <w:sz w:val="24"/>
          <w:szCs w:val="24"/>
        </w:rPr>
        <w:t xml:space="preserve">The aim of this paper is to identify and analyse the economic and sporting indicators that determine the performance of Premier League teams. The research is based on data for seven seasons between 2017/18 and 2023/24, which are taken from the Fbref, Capology and Transfermarkt databases. The analysis uses a panel econometric methodology, which allows for a combined treatment of time series and cross-sectional data. The analysis started with a basic Pooled OLS model where the outcome variable is the number of points scored during the season. Further specification of the model was done in two directions: one focused on traditional economic and sport-specific indicators and the other on advanced statistical indicators.</w:t>
      </w:r>
    </w:p>
    <w:p>
      <w:pPr>
        <w:widowControl w:val="on"/>
        <w:pBdr/>
        <w:spacing w:before="240" w:after="240" w:line="240" w:lineRule="auto"/>
        <w:ind w:left="0" w:right="0"/>
        <w:jc w:val="left"/>
      </w:pPr>
      <w:r>
        <w:rPr>
          <w:color w:val="000000"/>
          <w:sz w:val="24"/>
          <w:szCs w:val="24"/>
        </w:rPr>
        <w:t xml:space="preserve">The research examined 26 explanatory variables, which included economic factors such as the market value of the roster and the club's budget, and sporting indicators such as the number of goals scored and goals conceded. Among the advanced statistics, particular attention was paid to the indicators of expected goals and expected goal difference. Standardisation of continuous variables ensured comparability of the effects of each variable, while robust error terms were used to increase the accuracy of the models.</w:t>
      </w:r>
    </w:p>
    <w:p>
      <w:pPr>
        <w:widowControl w:val="on"/>
        <w:pBdr/>
        <w:spacing w:before="240" w:after="240" w:line="240" w:lineRule="auto"/>
        <w:ind w:left="0" w:right="0"/>
        <w:jc w:val="left"/>
      </w:pPr>
      <w:r>
        <w:rPr>
          <w:color w:val="000000"/>
          <w:sz w:val="24"/>
          <w:szCs w:val="24"/>
        </w:rPr>
        <w:t xml:space="preserve">The results highlighted that among the sport-specific indicators, goals scored and goals received have a significant impact on team performance, confirming the relationships presented in previous literature. Among the economic indicators, the total market value of the roster was found to be the most influential factor, while the role of the expected goal difference stood out among the advanced statistics. The results confirm that in modern football, data-driven analysis can be used not only to measure team performance but also to predict long-term success.</w:t>
      </w:r>
    </w:p>
    <w:p>
      <w:pPr>
        <w:widowControl w:val="on"/>
        <w:pBdr/>
        <w:spacing w:before="240" w:after="240" w:line="240" w:lineRule="auto"/>
        <w:ind w:left="0" w:right="0"/>
        <w:jc w:val="left"/>
      </w:pPr>
      <w:r>
        <w:rPr>
          <w:color w:val="000000"/>
          <w:sz w:val="24"/>
          <w:szCs w:val="24"/>
        </w:rPr>
        <w:t xml:space="preserve">A novel feature of this paper is the combined use of traditional and advanced indicators, which offers a new perspective in exploring the interrelationships between economic and sporting factors. The results have practical implications for club managers and sports decision-makers, particularly in the areas of player roster development, efficient allocation of financial resources and maintaining competitiveness. The research contributes to the integration of sports economics and modern data analysis tools and to a deeper understanding of football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60710">
    <w:multiLevelType w:val="hybridMultilevel"/>
    <w:lvl w:ilvl="0" w:tplc="30495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60710">
    <w:abstractNumId w:val="18860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7011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