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THI ANH THU NGUYEN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thunguyenhu123@gmail.com</w:t>
            </w:r>
            <w:r w:rsidRPr="001067CD">
              <w:rPr>
                <w:i/>
              </w:rPr>
              <w:br/>
            </w:r>
            <w:r w:rsidR="00A96AEC">
              <w:t>International Business Economics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THU TRANG NGUYEN 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ngttrang2012@gmail.com</w:t>
            </w:r>
            <w:bookmarkStart w:id="1" w:name="_GoBack"/>
            <w:bookmarkEnd w:id="1"/>
            <w:r w:rsidRPr="001067CD">
              <w:br/>
            </w:r>
            <w:r w:rsidR="00C275A3">
              <w:t>International Business Economics</w:t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Corvinus University of Budapest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THI XUAN NGOC TRAN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txuanngoc3123@gmail.com</w:t>
            </w:r>
            <w:r w:rsidRPr="001067CD">
              <w:rPr>
                <w:i/>
              </w:rPr>
              <w:br/>
            </w:r>
            <w:r w:rsidR="00A96AEC">
              <w:t>International Business Economics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Katona Márton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 Assistant Professor,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Understanding Olympic Bid Decisions – Factors Influencing the 2024 Games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75182">
    <w:multiLevelType w:val="hybridMultilevel"/>
    <w:lvl w:ilvl="0" w:tplc="63702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75182">
    <w:abstractNumId w:val="681751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723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