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bernadett.toth3@stud.uni-corvinus.hu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Csurilla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munkatárs,  Közgazdaság- és Regionális 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paralimpiai játékok rendezésének hatása a rendező ország sportolóinak az eredményességére – A hazai pálya előnye a paralimpiai játékokon Athéntól Rióig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Paralimpiai Játékok; eredményesség; szintetikus kontroll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nyári Paralimpiai Játékok története egészen a II. világháborút követő évekig nyúlik vissza, napjainkban az olimpiai játékok utáni második legnagyobb megasportrendezvényként tartják számon. A paralimpia társadalmi hatásai ismertek és széleskörben vizsgáltak. Sportszakmai szempontból a téma kevéssé kutatott. A kutatás arra a kérdésre keresi a választ, hogy a szerzett érmek számában érződik-e a „hazai pálya előnye” és ha igen mennyire hosszú távú ez a hatás.</w:t>
      </w:r>
      <w:r>
        <w:rPr>
          <w:color w:val="000000"/>
          <w:sz w:val="24"/>
          <w:szCs w:val="24"/>
        </w:rPr>
        <w:br/>
        <w:t xml:space="preserve">A dolgozatban a szintetikus kontroll módszertana mellett alkalmazásra került az úgynevezett directed acyclic graphs (DAG) is. A kvantitatív kutatás adatai a Kaggle oldaláról, illetve a magyarázó változók esetében Csurilla és Fertő (2024b) kutatásából származnak. A külső tényezők befolyásoló hatásának vizsgálata végett a kvalitatív kutatás részeként szekunder anyagok kerültek elemzésre. A kutatás során használt adatbázis 25 változót és 1504 megfigyelést tartalmaz, köztük egy „Period” változót, amelyre azért volt szükség, hogy az időváltozó folytonos legyen, mivel az R-ben a szintetikus kontroll csak ily módon működik. A kapott eredmények azt mutatják, hogy minden esetben van házigazda hatás azonban ennek tartóssága eltérő mértékű. A hatás mértékét gazdasági, társadalmi, környezeti és politikai tényezők nagy mértékben befolyásolják. A kutatás korlátai közé tartozik, a kevés rendelkezésre álló adat, az országok heterogenitása, ami a megfelelő donor pool kialakítását akadályozta, valamint a külső környezeti tényezők, azaz a felkészülés szerepe az eredményességben.</w:t>
      </w:r>
      <w:r>
        <w:rPr>
          <w:color w:val="000000"/>
          <w:sz w:val="24"/>
          <w:szCs w:val="24"/>
        </w:rPr>
        <w:br/>
        <w:t xml:space="preserve">Jel-kód: Z20, L83 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78707">
    <w:multiLevelType w:val="hybridMultilevel"/>
    <w:lvl w:ilvl="0" w:tplc="80988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78707">
    <w:abstractNumId w:val="193787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42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