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TÓTH</w:t>
            </w:r>
          </w:p>
          <w:p w:rsidR="00C275A3" w:rsidRDefault="00CA6B74" w:rsidP="00C275A3">
            <w:pPr>
              <w:pStyle w:val="Hallgatokepzes"/>
            </w:pPr>
            <w:r w:rsidRPr="001067CD">
              <w:rPr>
                <w:i/>
              </w:rPr>
              <w:t>bernadett.toth3@stud.uni-corvinus.hu</w:t>
            </w:r>
            <w:r w:rsidRPr="001067CD">
              <w:rPr>
                <w:i/>
              </w:rPr>
              <w:br/>
            </w:r>
            <w:r w:rsidR="00A96AEC">
              <w:t>Management and Leadership</w:t>
            </w:r>
            <w:r w:rsidR="00A96AEC">
              <w:br/>
            </w:r>
            <w:r w:rsidR="00E77B23">
              <w:t>MSc, 1.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Csurilla</w:t>
            </w:r>
          </w:p>
          <w:p w:rsidR="00DB4822" w:rsidRDefault="00DB4822" w:rsidP="00BA6BAF">
            <w:pPr>
              <w:pStyle w:val="Konzulensektitulus"/>
            </w:pPr>
            <w:r w:rsidRPr="00DB4822">
              <w:t>assistant research fellow,  Institute of Economics, Centre for Economic and Regional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hosting the Paralympic Games on the performance of the host country's athletes: Home-field advantage at the Paralympic Games from Athens to Rio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paralympic games; performance; synthetic control methods</w:t>
      </w:r>
      <w:r>
        <w:t xml:space="preserve"/>
      </w:r>
    </w:p>
    <w:p>
      <w:pPr>
        <w:widowControl w:val="on"/>
        <w:pBdr/>
        <w:spacing w:before="240" w:after="240" w:line="240" w:lineRule="auto"/>
        <w:ind w:left="0" w:right="0"/>
        <w:jc w:val="left"/>
      </w:pPr>
      <w:r>
        <w:rPr>
          <w:color w:val="000000"/>
          <w:sz w:val="24"/>
          <w:szCs w:val="24"/>
        </w:rPr>
        <w:t xml:space="preserve">The history of the Summer Paralympic Games dates back to the years after the Second World War, and today it is considered the second largest mega-sporting event after the Olympic Games. The social impact of the Paralympics is well known and widely studied. From a sporting point of view, the subject has been little researched. The research seeks to answer the question of whether the 'home field advantage' is felt in terms of the number of medals won and, if so, how long term this effect is.</w:t>
      </w:r>
      <w:r>
        <w:rPr>
          <w:color w:val="000000"/>
          <w:sz w:val="24"/>
          <w:szCs w:val="24"/>
        </w:rPr>
        <w:br/>
        <w:t xml:space="preserve">In addition to the methodology of synthetic control, the thesis uses the so-called directed acyclic graphs (DAG). Data for the quantitative research are taken from the Kaggle site and, for the explanatory variables, from Csurilla and Fertő (2024b). Secondary data were analysed as part of the qualitative research to investigate the influence of external factors. The database used in the research contains 25 variables and 1504 observations, including a "Period" variable, which was needed to make the time variable continuous, as this is the only way the synthetic control methods works in R. The results obtained show that there is a host effect in all cases but that the persistence of this effect varies. The extent of the effect is strongly influenced by economic, social, environmental and political factors. Limitations of the research include the paucity of available data, heterogeneity of countries, which has hampered the development of an appropriate donor pool, and the role of external environmental factors, i.e. preparation, in the effectiveness of the research.</w:t>
      </w:r>
    </w:p>
    <w:p>
      <w:pPr>
        <w:widowControl w:val="on"/>
        <w:pBdr/>
        <w:spacing w:before="240" w:after="240" w:line="240" w:lineRule="auto"/>
        <w:ind w:left="0" w:right="0"/>
        <w:jc w:val="left"/>
      </w:pPr>
      <w:r>
        <w:rPr>
          <w:color w:val="000000"/>
          <w:sz w:val="24"/>
          <w:szCs w:val="24"/>
        </w:rPr>
        <w:t xml:space="preserve">JEL code: Z20, L83  </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10719">
    <w:multiLevelType w:val="hybridMultilevel"/>
    <w:lvl w:ilvl="0" w:tplc="19408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10719">
    <w:abstractNumId w:val="94410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870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