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DANG QUY MINH</w:t>
            </w:r>
          </w:p>
          <w:p w:rsidR="00C275A3" w:rsidRDefault="00CA6B74" w:rsidP="00C275A3">
            <w:pPr>
              <w:pStyle w:val="Hallgatokepzes"/>
            </w:pPr>
            <w:r w:rsidRPr="001067CD">
              <w:rPr>
                <w:i/>
              </w:rPr>
              <w:t>butthepm@student.elte.hu</w:t>
            </w:r>
            <w:r w:rsidRPr="001067CD">
              <w:rPr>
                <w:i/>
              </w:rPr>
              <w:br/>
            </w:r>
            <w:r w:rsidR="00A96AEC">
              <w:t>student</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Fodor Szilvia</w:t>
            </w:r>
          </w:p>
          <w:p w:rsidR="00DB4822" w:rsidRDefault="00DB4822" w:rsidP="00BA6BAF">
            <w:pPr>
              <w:pStyle w:val="Konzulensektitulus"/>
            </w:pPr>
            <w:r w:rsidRPr="00DB4822">
              <w:t>habilitált 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and Validation of the CSEP Measure of Student Wellbeing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Student wellbeing, secondary school student, Vietnamese students, measure of student wellbeing</w:t>
      </w:r>
      <w:r>
        <w:t xml:space="preserve"/>
      </w:r>
    </w:p>
    <w:p>
      <w:pPr>
        <w:widowControl w:val="on"/>
        <w:pBdr/>
        <w:spacing w:before="240" w:after="240" w:line="240" w:lineRule="auto"/>
        <w:ind w:left="0" w:right="0"/>
        <w:jc w:val="left"/>
      </w:pPr>
      <w:r>
        <w:rPr>
          <w:color w:val="000000"/>
          <w:sz w:val="24"/>
          <w:szCs w:val="24"/>
        </w:rPr>
        <w:t xml:space="preserve">This abstract presents a study focused on exploring perceived wellbeing of secondary school students in Vietnam. A cross-sectional survey design was employed with the use of random sampling to select a sample of 10.065 students from Northern to Southern Vietnam attending lower secondary and higher secondary schools. A recently developed scale measuring student wellbeing was used. Exploratory factor analysis, confirmatory factor analysis were executed to investigate the psychometrics of scale. A four-factor structure was deﬁned, including cognitive, social, emotional and physical wellbeing, abbreviated as CSEP with consistent goodness and badness of fit indexes and high reliability. Descriptive analyses were conducted to explore differences of dimensions of wellbeing across sex, and city levels. Overall, results offered preliminary support for a suitable measurement of wellbeing in secondary schools in Vietnam and complements existing literature about student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21403">
    <w:multiLevelType w:val="hybridMultilevel"/>
    <w:lvl w:ilvl="0" w:tplc="90827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21403">
    <w:abstractNumId w:val="14421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247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