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DIANOVICS DOMINIK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dianovicsdominik@gmail.com</w:t>
            </w:r>
            <w:r w:rsidRPr="001067CD">
              <w:rPr>
                <w:i/>
              </w:rPr>
              <w:br/>
            </w:r>
            <w:r w:rsidR="00A96AEC">
              <w:t>Klinikai pszichológia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VARGA MÁRTON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martonaronvarga@gmail.com</w:t>
            </w:r>
            <w:bookmarkStart w:id="1" w:name="_GoBack"/>
            <w:bookmarkEnd w:id="1"/>
            <w:r w:rsidRPr="001067CD">
              <w:br/>
            </w:r>
            <w:r w:rsidR="00C275A3">
              <w:t>Matematika</w:t>
            </w:r>
            <w:r w:rsidR="00A96AEC">
              <w:br/>
              <w:t>BA, 1.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Aczél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tudományos cikkek elfogadási és publikációs késésének változása az elmúlt 8 évben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tudományos publikációk, elfogadási késés, publikációs késés, tudománypszichológia, metatudomány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Amikor tudományról beszélünk, nem csak az adott munkák tartalmára kell gondolnunk, hanem a tudományos kommunikációra és információmegosztásra is. Ennek egy szerves része a kéziratok folyóiratok által végzett értékelése és megjelenítése. Kutatásunk azt vizsgálta, hogy az elmúlt tíz évben hogyan változott a tudományos publikáció sebessége, annak különböző aspektusai. Megkülönböztetünk két periódust, az elfogadási késést, ami a beküldés és az elfogadás közötti időszak, valamint a publikálási késést, ami az elfogadás és az online publikáció napja között eltelt időtartam.</w:t>
      </w:r>
      <w:r>
        <w:rPr>
          <w:color w:val="000000"/>
          <w:sz w:val="24"/>
          <w:szCs w:val="24"/>
        </w:rPr>
        <w:br/>
        <w:t xml:space="preserve">    Eredményeink, amit több mint hatmillió cikk elemzésével hoztunk létre, megmutatják, hogy a tudomány hogyan működik különböző területeken, mint például az egészség- és társadalomtudomány, késései mennyire vannak befolyásolva a folyóiratok minősége és szokásai által és, hogy krízishelyzetben hogyan képes adaptálódni. A kutatás minden részét sajátkezűleg készítettük, inspirációt és eligazítást Bognár Miklós és Dr. Aczél Balázs témavezetőinktől kaptuk.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891716">
    <w:multiLevelType w:val="hybridMultilevel"/>
    <w:lvl w:ilvl="0" w:tplc="139350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891716">
    <w:abstractNumId w:val="708917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31805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