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BARNA</w:t>
            </w:r>
          </w:p>
          <w:p w:rsidR="00C275A3" w:rsidRDefault="00CA6B74" w:rsidP="00C275A3">
            <w:pPr>
              <w:pStyle w:val="Hallgatokepzes"/>
            </w:pPr>
            <w:r w:rsidRPr="001067CD">
              <w:rPr>
                <w:i/>
              </w:rPr>
              <w:t>barna.dorina05@gmail.com</w:t>
            </w:r>
            <w:r w:rsidRPr="001067CD">
              <w:rPr>
                <w:i/>
              </w:rPr>
              <w:br/>
            </w:r>
            <w:r w:rsidR="00A96AEC">
              <w:t>BA in Finance and Accounting</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Anita Dr. habil. Tangl</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digitalized accounting processes and SDGs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Sustainability;Digitalized;Carbon footprint;Paperless Office;SDG</w:t>
      </w:r>
      <w:r>
        <w:t xml:space="preserve"/>
      </w:r>
    </w:p>
    <w:p>
      <w:pPr>
        <w:widowControl w:val="on"/>
        <w:pBdr/>
        <w:spacing w:before="240" w:after="240" w:line="240" w:lineRule="auto"/>
        <w:ind w:left="0" w:right="0"/>
        <w:jc w:val="left"/>
      </w:pPr>
      <w:r>
        <w:rPr>
          <w:color w:val="000000"/>
          <w:sz w:val="24"/>
          <w:szCs w:val="24"/>
        </w:rPr>
        <w:t xml:space="preserve">The possibilities of the 21st century, considering the acceleration of digitalization and the impact of the corona virus, have created a work ethic that has never been seen before. Unknown and unusual life situations were formed for many of us. The immediate adaptation and the transition to the online space have brought many challenges, whereas many new opportunities at the same time.</w:t>
      </w:r>
    </w:p>
    <w:p>
      <w:pPr>
        <w:widowControl w:val="on"/>
        <w:pBdr/>
        <w:spacing w:before="240" w:after="240" w:line="240" w:lineRule="auto"/>
        <w:ind w:left="0" w:right="0"/>
        <w:jc w:val="left"/>
      </w:pPr>
      <w:r>
        <w:rPr>
          <w:color w:val="000000"/>
          <w:sz w:val="24"/>
          <w:szCs w:val="24"/>
        </w:rPr>
        <w:br/>
        <w:t xml:space="preserve">My research is on the further implications of these opportunities. The study focuses on the digitalization of accounting processes and the Sustainable Development Goals (SDGs) and their relationship. The research is looking for the intersection of digitalization and environmental protection, connecting the Japanese model for measuring environmental costs with the 17 SDG goals. The main question of my research is there any connection between the model and the SDGs and is it truly possible to reduce ecological footprints by satisfying these two factors.</w:t>
      </w:r>
    </w:p>
    <w:p>
      <w:pPr>
        <w:widowControl w:val="on"/>
        <w:pBdr/>
        <w:spacing w:before="240" w:after="240" w:line="240" w:lineRule="auto"/>
        <w:ind w:left="0" w:right="0"/>
        <w:jc w:val="left"/>
      </w:pPr>
      <w:r>
        <w:rPr>
          <w:color w:val="000000"/>
          <w:sz w:val="24"/>
          <w:szCs w:val="24"/>
        </w:rPr>
        <w:br/>
        <w:t xml:space="preserve">The study highlights the benefits of establishing a paperless accounting office, which, by leveraging digitalized document management processes, can reduce ecological footprint. Both external and internal multipliers are evident, as both partners (the accounting office and the clients) gain economic and sustainable benefits. Long-term economic advantages, growth potential, and milestones for making corporate operations more sustainable are also explored.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39019">
    <w:multiLevelType w:val="hybridMultilevel"/>
    <w:lvl w:ilvl="0" w:tplc="19132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39019">
    <w:abstractNumId w:val="34539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907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