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BOGLÁRKA KISS</w:t>
            </w:r>
          </w:p>
          <w:p w:rsidR="00C275A3" w:rsidRDefault="00CA6B74" w:rsidP="00C275A3">
            <w:pPr>
              <w:pStyle w:val="Hallgatokepzes"/>
            </w:pPr>
            <w:r w:rsidRPr="001067CD">
              <w:rPr>
                <w:i/>
              </w:rPr>
              <w:t>kissbogi2303@gmail.com</w:t>
            </w:r>
            <w:r w:rsidRPr="001067CD">
              <w:rPr>
                <w:i/>
              </w:rPr>
              <w:br/>
            </w:r>
            <w:r w:rsidR="00A96AEC">
              <w:t>economics and management</w:t>
            </w:r>
            <w:r w:rsidR="00A96AEC">
              <w:br/>
            </w:r>
            <w:r w:rsidR="00E77B23">
              <w:t>BSc, 7.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Zsófia Hajnal</w:t>
            </w:r>
          </w:p>
          <w:p w:rsidR="00DB4822" w:rsidRDefault="00DB4822" w:rsidP="00BA6BAF">
            <w:pPr>
              <w:pStyle w:val="Konzulensektitulus"/>
            </w:pPr>
            <w:r w:rsidRPr="00DB4822">
              <w:t>assistant professor, NJE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Taxation of farmers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self-employment taxation, smallholder farmers, subsistence farming, taxation methods, pension system, tax exemptions, agricultural subsidies, tax burden, simplified tax system</w:t>
      </w:r>
      <w:r>
        <w:t xml:space="preserve"/>
      </w:r>
    </w:p>
    <w:p>
      <w:pPr>
        <w:widowControl w:val="on"/>
        <w:pBdr/>
        <w:spacing w:before="240" w:after="240" w:line="240" w:lineRule="auto"/>
        <w:ind w:left="0" w:right="0"/>
        <w:jc w:val="left"/>
      </w:pPr>
      <w:r>
        <w:rPr>
          <w:color w:val="000000"/>
          <w:sz w:val="24"/>
          <w:szCs w:val="24"/>
        </w:rPr>
        <w:t xml:space="preserve">My research examines the taxation of self-employed farmers, focusing on local subsistence farming enterprises. I aim to understand why certain tax structures are chosen and highlight their unique benefits. To gather insights, I developed a questionnaire to assess farmers' perspectives on the current tax system, suggestions for improvement, and ways to attract young people to farming. The study includes a review of tax legislation and an analysis of tax obligations and exemptions for family farms. I surveyed 83 farmers and conducted in-depth interviews with four local farms. Many farmers are satisfied with their tax framework, but they find pension options inadequate, prompting recommendations for policy reforms to improve pension provisions. My research also addresses the challenges of an ageing agricultural sector and explores ways to encourage young people to enter farming. The findings aim to provide a comprehensive understanding of smallholder farmers' taxation, their tax burden, and available subsidies. Additionally, I explore the advantages and disadvantages of current taxation systems and offer suggestions for new farmers.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660044">
    <w:multiLevelType w:val="hybridMultilevel"/>
    <w:lvl w:ilvl="0" w:tplc="796330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660044">
    <w:abstractNumId w:val="296600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24790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