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MEGYESI</w:t>
            </w:r>
          </w:p>
          <w:p w:rsidR="00C275A3" w:rsidRDefault="00CA6B74" w:rsidP="00C275A3">
            <w:pPr>
              <w:pStyle w:val="Hallgatokepzes"/>
            </w:pPr>
            <w:r w:rsidRPr="001067CD">
              <w:rPr>
                <w:i/>
              </w:rPr>
              <w:t>attila.megyesi.mts@gmail.com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Bárczi PhD</w:t>
            </w:r>
          </w:p>
          <w:p w:rsidR="00DB4822" w:rsidRDefault="00DB4822" w:rsidP="00BA6BAF">
            <w:pPr>
              <w:pStyle w:val="Konzulensektitulus"/>
            </w:pPr>
            <w:r w:rsidRPr="00DB4822">
              <w:t>associate professor,  Doctoral School of Business and Management at Neumann János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CHANGES IN STOCKS OF HOUSEHOLD GOVERNMENT SECURITIES, BETWEEN 2013 AND 2023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economy; government bonds; inflation; households</w:t>
      </w:r>
      <w:r>
        <w:t xml:space="preserve"/>
      </w:r>
    </w:p>
    <w:p>
      <w:pPr>
        <w:widowControl w:val="on"/>
        <w:pBdr/>
        <w:spacing w:before="240" w:after="240" w:line="240" w:lineRule="auto"/>
        <w:ind w:left="0" w:right="0"/>
        <w:jc w:val="left"/>
      </w:pPr>
      <w:r>
        <w:rPr>
          <w:color w:val="000000"/>
          <w:sz w:val="24"/>
          <w:szCs w:val="24"/>
        </w:rPr>
        <w:t xml:space="preserve">In the years following the Great Recession the substancial foreign currency exposure within the debt burden meant significant vulnerability towards public finances. This vulnerability was succesfully relieved by a new economic policy which was based on prioritizing domestic sources. By the intense involvement of the domestic sector’s savings, a considerable share of the public debt was owned by the households over time. Furthermore, decision-makers took serious steps towards a sustainable and less endangered financing operation of the government deficit.</w:t>
      </w:r>
      <w:r>
        <w:rPr>
          <w:color w:val="000000"/>
          <w:sz w:val="24"/>
          <w:szCs w:val="24"/>
        </w:rPr>
        <w:br/>
        <w:t xml:space="preserve">This thesis aims to analyze the changes in stock of household government securities and also the performance of these financial assets under overwhelming inflation. Furthermore, the research involves a broader macro analysis to explain the main driving factors behind household savings and the funding of public finance which directly form the government securities stocks.</w:t>
      </w:r>
      <w:r>
        <w:rPr>
          <w:color w:val="000000"/>
          <w:sz w:val="24"/>
          <w:szCs w:val="24"/>
        </w:rPr>
        <w:br/>
        <w:t xml:space="preserve">A mixed-method approach was employed, with the use of a descriptive analysis, on the subject of savings and national debt, and a comparative analysis in the topic of household government securities. The thesis is established on a literature review, in which the market models, the main form of financial investments, the risk-return relationship and the household sector are studied.</w:t>
      </w:r>
      <w:r>
        <w:rPr>
          <w:color w:val="000000"/>
          <w:sz w:val="24"/>
          <w:szCs w:val="24"/>
        </w:rPr>
        <w:br/>
        <w:t xml:space="preserve">Government bonds sold to the public were atractively priced, in the purpose of creating a strong demand for them. However the promising returns have become a double-edged sword to the public debt manager. A torturing inflation wave struck Hungary, beginning in 2022, which made the central bank to step in and rise interest rates, that applied to the economy. One particular government bond became the one to offer the highest yield, because of its CPI tracking construction. This made a huge impact on the government securities market, and made a sizeable chunk of households to allocate their financial wealth into this specific asset.</w:t>
      </w:r>
      <w:r>
        <w:rPr>
          <w:color w:val="000000"/>
          <w:sz w:val="24"/>
          <w:szCs w:val="24"/>
        </w:rPr>
        <w:br/>
        <w:t xml:space="preserve">Under severe inflation pressure the main objective was to retain purchasing power of the financial wealth, regarding the household sector. However, purchase power retainment for the households, meant unforeseen costs to public finances. A mix of expensive funding, and an extensive need for funding in the national budget resulted in a soaring interest expenditure.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13487">
    <w:multiLevelType w:val="hybridMultilevel"/>
    <w:lvl w:ilvl="0" w:tplc="18902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13487">
    <w:abstractNumId w:val="179134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743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