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STEITZ MÁRTON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steitz.marci01@gmail.com</w:t>
            </w:r>
            <w:r w:rsidRPr="001067CD">
              <w:rPr>
                <w:i/>
              </w:rPr>
              <w:br/>
            </w:r>
            <w:r w:rsidR="00A96AEC">
              <w:t>Zenekultúra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KIRA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szabo.kira.m@gmail.com</w:t>
            </w:r>
            <w:bookmarkStart w:id="1" w:name="_GoBack"/>
            <w:bookmarkEnd w:id="1"/>
            <w:r w:rsidRPr="001067CD">
              <w:br/>
            </w:r>
            <w:r w:rsidR="00C275A3">
              <w:t>Zenekultúra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Bodnár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intézetigazgató,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Bodnár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intézetigazgató,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Kadosa Pál: Három Radnóti dal énekhangra és zongorára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Kadosa, Radnóti, dal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1964-ben, a Zeneműkiadó által megjelentetett Három Radnóti dal énekhangra és zongorára a 20. századi magyar irodalom meghatározó költőjének műveit zenésíti meg. Elsőként az 1932-es Tél, majd az 1936-os Ballada, végül az 1941-es Két karodban című vers hangzik fel. A rövid, zaklatott, drámai hangvételű versek tartalmi összekötő eleme a halál és elmúlás motívuma. A verseket különálló egészként – de értelmezésemben a három művet összekapcsolva, egy gyilkosság történeteként is felfoghatjuk. Így az első borús téli tájat mutat be, ahol farkas oson, a másodikban a gyilkosság esetét olvashatjuk, a harmadikban hosszas, kétségbeesett haláltusát. A verssorozat hangulata, szimbolikája Kadosa Pál megzenésítésben teljesedik ki igazán – talán közrejátszhatott ebben a két alkotó közös sorsa a munkaszolgálatban és üldözöttségben.</w:t>
      </w:r>
      <w:r>
        <w:rPr>
          <w:color w:val="000000"/>
          <w:sz w:val="24"/>
          <w:szCs w:val="24"/>
        </w:rPr>
        <w:br/>
        <w:t xml:space="preserve">A zene tökéletes szövegfestéssel mutatja be a vers elemeit, a huszadik század második felének avantgárd, kísérletező hangzásával. A hangnemnélküliség, a súrlódó szekundok, tritónuszok és arpeggiók gyakori használata nyomasztó hangzásvilágot teremt. A zeneszerző művében nem támaszkodik a klasszikus vagy romantikus formákra, szerkezetileg is igazi modern zenét komponált.</w:t>
      </w:r>
      <w:r>
        <w:rPr>
          <w:color w:val="000000"/>
          <w:sz w:val="24"/>
          <w:szCs w:val="24"/>
        </w:rPr>
        <w:br/>
        <w:t xml:space="preserve">Az énekes és zongorista számára egyaránt nehéz és technikás műben elsősorban az éneké a főszerep, de a hangszer is többször előtérbe kerül, szólisztikus szerepet kap. A két szólam gyakorlatilag nem támogatja egymást, mindkettő egyéni motívumsorokkal szolgálja ki a versek hangulatát.</w:t>
      </w:r>
      <w:r>
        <w:rPr>
          <w:color w:val="000000"/>
          <w:sz w:val="24"/>
          <w:szCs w:val="24"/>
        </w:rPr>
        <w:br/>
        <w:t xml:space="preserve">Dolgozatomban a művek irodalmi és zenei elemzésével szándékoztam feltárni a költemények egymáshoz való viszonyát, a dalokban megjelenő szövegfestést.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107381">
    <w:multiLevelType w:val="hybridMultilevel"/>
    <w:lvl w:ilvl="0" w:tplc="25575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107381">
    <w:abstractNumId w:val="511073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260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