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TANNER NORMAN NOEL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normantanner03@gmail.com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Keller-Pintér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Barnabás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tiloron javítja a magas zsírtartalmú diéta hatására kialakuló anyagcsere-változásokat és csökkenti a zsírmájat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Máj; Magas zsírtartalmú étrend; metabolikus diszfunkcióval asszociált zsírmájbetegség; Tiloron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egészségtelen életmód számos szövődmény kialakulásához</w:t>
      </w:r>
      <w:r>
        <w:rPr>
          <w:color w:val="000000"/>
          <w:sz w:val="24"/>
          <w:szCs w:val="24"/>
        </w:rPr>
        <w:br/>
        <w:t xml:space="preserve">vezethet. Korábbi in vitro kísérleteink bebizonyították, hogy a tiloron növeli a</w:t>
      </w:r>
      <w:r>
        <w:rPr>
          <w:color w:val="000000"/>
          <w:sz w:val="24"/>
          <w:szCs w:val="24"/>
        </w:rPr>
        <w:br/>
        <w:t xml:space="preserve">sejtek BMP (csontmorfogenikus fehérje) expresszióját és glükóz felvételét.</w:t>
      </w:r>
      <w:r>
        <w:rPr>
          <w:color w:val="000000"/>
          <w:sz w:val="24"/>
          <w:szCs w:val="24"/>
        </w:rPr>
        <w:br/>
        <w:t xml:space="preserve">Célunk, hogy megvizsgáljuk a tiloron metabolikus hatásait in vivo magas</w:t>
      </w:r>
      <w:r>
        <w:rPr>
          <w:color w:val="000000"/>
          <w:sz w:val="24"/>
          <w:szCs w:val="24"/>
        </w:rPr>
        <w:br/>
        <w:t xml:space="preserve">zsírtartalmú diétán (HFD) tartott egérmodellen.</w:t>
      </w:r>
      <w:r>
        <w:rPr>
          <w:color w:val="000000"/>
          <w:sz w:val="24"/>
          <w:szCs w:val="24"/>
        </w:rPr>
        <w:br/>
        <w:t xml:space="preserve">Módszerek: A kísérleteinkhez hím, C57BL/6 (12-14 hetes) egereket</w:t>
      </w:r>
      <w:r>
        <w:rPr>
          <w:color w:val="000000"/>
          <w:sz w:val="24"/>
          <w:szCs w:val="24"/>
        </w:rPr>
        <w:br/>
        <w:t xml:space="preserve">használtunk. 6 és 10 hetes kísérleti időszak alatt 3 csoportot alakítottunk ki.</w:t>
      </w:r>
      <w:r>
        <w:rPr>
          <w:color w:val="000000"/>
          <w:sz w:val="24"/>
          <w:szCs w:val="24"/>
        </w:rPr>
        <w:br/>
        <w:t xml:space="preserve">A kontrollcsoport normál tápot, a másik két csoport magas zsírtartalmú tápot</w:t>
      </w:r>
      <w:r>
        <w:rPr>
          <w:color w:val="000000"/>
          <w:sz w:val="24"/>
          <w:szCs w:val="24"/>
        </w:rPr>
        <w:br/>
        <w:t xml:space="preserve">kapott. Az egyik HFD-s csoport a második héttől 3 naponta intraperitoneális</w:t>
      </w:r>
      <w:r>
        <w:rPr>
          <w:color w:val="000000"/>
          <w:sz w:val="24"/>
          <w:szCs w:val="24"/>
        </w:rPr>
        <w:br/>
        <w:t xml:space="preserve">tiloron injekcióban részesült. Hetente mértünk éhomi vércukorszintet és</w:t>
      </w:r>
      <w:r>
        <w:rPr>
          <w:color w:val="000000"/>
          <w:sz w:val="24"/>
          <w:szCs w:val="24"/>
        </w:rPr>
        <w:br/>
        <w:t xml:space="preserve">testtömeget, majd a kísérleti periódus végén glükóztolerancia-tesztet is</w:t>
      </w:r>
      <w:r>
        <w:rPr>
          <w:color w:val="000000"/>
          <w:sz w:val="24"/>
          <w:szCs w:val="24"/>
        </w:rPr>
        <w:br/>
        <w:t xml:space="preserve">végeztünk. PET/MRI képalkotás segítségével a glükóz felvételt vizsgáltuk. A</w:t>
      </w:r>
      <w:r>
        <w:rPr>
          <w:color w:val="000000"/>
          <w:sz w:val="24"/>
          <w:szCs w:val="24"/>
        </w:rPr>
        <w:br/>
        <w:t xml:space="preserve">kísérlet terminálásakor az állatok belső szerveit és hátsó lábszár izmait</w:t>
      </w:r>
      <w:r>
        <w:rPr>
          <w:color w:val="000000"/>
          <w:sz w:val="24"/>
          <w:szCs w:val="24"/>
        </w:rPr>
        <w:br/>
        <w:t xml:space="preserve">eltávolítottuk. Mértük a BMP-k expessziójának változását qPCR-rel és</w:t>
      </w:r>
      <w:r>
        <w:rPr>
          <w:color w:val="000000"/>
          <w:sz w:val="24"/>
          <w:szCs w:val="24"/>
        </w:rPr>
        <w:br/>
        <w:t xml:space="preserve">mitokondrium funkciós vizsgálatokat végeztünk. Máj szövettani metszeteket</w:t>
      </w:r>
      <w:r>
        <w:rPr>
          <w:color w:val="000000"/>
          <w:sz w:val="24"/>
          <w:szCs w:val="24"/>
        </w:rPr>
        <w:br/>
        <w:t xml:space="preserve">PAS (glikogéntartalom), hematoxilin-eozin és Sudan III (lipidtartalom)</w:t>
      </w:r>
      <w:r>
        <w:rPr>
          <w:color w:val="000000"/>
          <w:sz w:val="24"/>
          <w:szCs w:val="24"/>
        </w:rPr>
        <w:br/>
        <w:t xml:space="preserve">festéseket követően értékeltük.</w:t>
      </w:r>
      <w:r>
        <w:rPr>
          <w:color w:val="000000"/>
          <w:sz w:val="24"/>
          <w:szCs w:val="24"/>
        </w:rPr>
        <w:br/>
        <w:t xml:space="preserve">Eredmények: A HFD megemelte a testtömeget az éhomi vércukorszintet és</w:t>
      </w:r>
      <w:r>
        <w:rPr>
          <w:color w:val="000000"/>
          <w:sz w:val="24"/>
          <w:szCs w:val="24"/>
        </w:rPr>
        <w:br/>
        <w:t xml:space="preserve">csökkentette a glükóztoleranciát, ezen hatásokat a tiloron kezelés javította.</w:t>
      </w:r>
      <w:r>
        <w:rPr>
          <w:color w:val="000000"/>
          <w:sz w:val="24"/>
          <w:szCs w:val="24"/>
        </w:rPr>
        <w:br/>
        <w:t xml:space="preserve">PET/MRI képalkotáson a HFD csökkentette a vizsgált szövetek</w:t>
      </w:r>
      <w:r>
        <w:rPr>
          <w:color w:val="000000"/>
          <w:sz w:val="24"/>
          <w:szCs w:val="24"/>
        </w:rPr>
        <w:br/>
        <w:t xml:space="preserve">glükózfelvételét, melyet a tiloron növelni tudott. A mitokondriális funkció</w:t>
      </w:r>
      <w:r>
        <w:rPr>
          <w:color w:val="000000"/>
          <w:sz w:val="24"/>
          <w:szCs w:val="24"/>
        </w:rPr>
        <w:br/>
        <w:t xml:space="preserve">vizsgálat alapján a tiloron kezelés csökkenti a II-es komplexhez kapcsolt</w:t>
      </w:r>
      <w:r>
        <w:rPr>
          <w:color w:val="000000"/>
          <w:sz w:val="24"/>
          <w:szCs w:val="24"/>
        </w:rPr>
        <w:br/>
        <w:t xml:space="preserve">oxidatív foszforilációt és a IV-es komplex aktivitását a HFD-s csoporthoz</w:t>
      </w:r>
      <w:r>
        <w:rPr>
          <w:color w:val="000000"/>
          <w:sz w:val="24"/>
          <w:szCs w:val="24"/>
        </w:rPr>
        <w:br/>
        <w:t xml:space="preserve">képest. A BMP-k expressziója megnövekedett tiloron adására. A HFD</w:t>
      </w:r>
      <w:r>
        <w:rPr>
          <w:color w:val="000000"/>
          <w:sz w:val="24"/>
          <w:szCs w:val="24"/>
        </w:rPr>
        <w:br/>
        <w:t xml:space="preserve">hatására a májban diffúz steatosis (S3/3) alakult ki, a tiloron csökkentette a</w:t>
      </w:r>
      <w:r>
        <w:rPr>
          <w:color w:val="000000"/>
          <w:sz w:val="24"/>
          <w:szCs w:val="24"/>
        </w:rPr>
        <w:br/>
        <w:t xml:space="preserve">máj lipidtartalmát a lipid vezikulák méretének csökkentésével. A HFD</w:t>
      </w:r>
      <w:r>
        <w:rPr>
          <w:color w:val="000000"/>
          <w:sz w:val="24"/>
          <w:szCs w:val="24"/>
        </w:rPr>
        <w:br/>
        <w:t xml:space="preserve">hatására csökkent glikogén tartalmat a tiloron megnövelte.</w:t>
      </w:r>
      <w:r>
        <w:rPr>
          <w:color w:val="000000"/>
          <w:sz w:val="24"/>
          <w:szCs w:val="24"/>
        </w:rPr>
        <w:br/>
        <w:t xml:space="preserve">Megbeszélés: Eredményeink alapján a tiloron segíti a magas zsírtartalmú</w:t>
      </w:r>
      <w:r>
        <w:rPr>
          <w:color w:val="000000"/>
          <w:sz w:val="24"/>
          <w:szCs w:val="24"/>
        </w:rPr>
        <w:br/>
        <w:t xml:space="preserve">diéta okozta káros hatások kivédését.</w:t>
      </w:r>
      <w:r>
        <w:rPr>
          <w:color w:val="000000"/>
          <w:sz w:val="24"/>
          <w:szCs w:val="24"/>
        </w:rPr>
        <w:br/>
        <w:t xml:space="preserve">Támogató: A TKP2021-EGA-28, NFKI FK 134684 és az SZTE</w:t>
      </w:r>
      <w:r>
        <w:rPr>
          <w:color w:val="000000"/>
          <w:sz w:val="24"/>
          <w:szCs w:val="24"/>
        </w:rPr>
        <w:br/>
        <w:t xml:space="preserve">Interdiszciplináris Kutatásfejlesztési és Innovációs Kiválósági Központ Élő</w:t>
      </w:r>
      <w:r>
        <w:rPr>
          <w:color w:val="000000"/>
          <w:sz w:val="24"/>
          <w:szCs w:val="24"/>
        </w:rPr>
        <w:br/>
        <w:t xml:space="preserve">Természettudományok Klaszterének (Horizontális) Inkubációs</w:t>
      </w:r>
      <w:r>
        <w:rPr>
          <w:color w:val="000000"/>
          <w:sz w:val="24"/>
          <w:szCs w:val="24"/>
        </w:rPr>
        <w:br/>
        <w:t xml:space="preserve">Kompetenciaközpontjának szakmai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21144">
    <w:multiLevelType w:val="hybridMultilevel"/>
    <w:lvl w:ilvl="0" w:tplc="14184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21144">
    <w:abstractNumId w:val="438211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0708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