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KOZÁK PÉTER MIHÁLY</w:t>
            </w:r>
          </w:p>
          <w:p w:rsidR="00C275A3" w:rsidRDefault="00CA6B74" w:rsidP="00C275A3">
            <w:pPr>
              <w:pStyle w:val="Hallgatokepzes"/>
            </w:pPr>
            <w:r w:rsidRPr="001067CD">
              <w:rPr>
                <w:i/>
              </w:rPr>
              <w:t>kozakpeter.2001@gmail.com</w:t>
            </w:r>
            <w:r w:rsidRPr="001067CD">
              <w:rPr>
                <w:i/>
              </w:rPr>
              <w:br/>
            </w:r>
            <w:r w:rsidR="00A96AEC">
              <w:t>általános orvos</w:t>
            </w:r>
            <w:r w:rsidR="00A96AEC">
              <w:br/>
            </w:r>
            <w:r w:rsidR="00E77B23">
              <w:t>Osztatlan, 11.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E. Melinda</w:t>
            </w:r>
          </w:p>
          <w:p w:rsidR="00DB4822" w:rsidRDefault="00DB4822" w:rsidP="00BA6BAF">
            <w:pPr>
              <w:pStyle w:val="Konzulensektitulus"/>
            </w:pPr>
            <w:r w:rsidRPr="00DB4822">
              <w:t>tudományos munkatárs,  HUN-REN Szegedi Biológiai Kutatóközpont, Molekuláris Stresszbiológia Csoport</w:t>
            </w:r>
          </w:p>
        </w:tc>
      </w:tr>
      <w:tr w:rsidR="00DB4822" w:rsidTr="00DB4822">
        <w:tc>
          <w:tcPr>
            <w:tcW w:w="9854" w:type="dxa"/>
          </w:tcPr>
          <w:p w:rsidR="00DB4822" w:rsidRPr="00DB4822" w:rsidRDefault="00DB4822" w:rsidP="00BA6BAF">
            <w:pPr>
              <w:pStyle w:val="Konzulenseknev"/>
            </w:pPr>
            <w:r w:rsidRPr="00DB4822">
              <w:t>Dr. Menyhárt Ákos</w:t>
            </w:r>
          </w:p>
          <w:p w:rsidR="00DB4822" w:rsidRDefault="00DB4822" w:rsidP="00BA6BAF">
            <w:pPr>
              <w:pStyle w:val="Konzulensektitulus"/>
            </w:pPr>
            <w:r w:rsidRPr="00DB4822">
              <w:t>egyetemi adjunktus,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iszkémiás stroke kimenetelének javítása az izom-agy tengelyen keresztül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akut iszkémiás stroke; izomstimuláció; izom-agy tengely; miokin; stroke rehabilitáció</w:t>
      </w:r>
      <w:r>
        <w:t xml:space="preserve"/>
      </w:r>
    </w:p>
    <w:p>
      <w:pPr>
        <w:widowControl w:val="on"/>
        <w:pBdr/>
        <w:spacing w:before="240" w:after="240" w:line="240" w:lineRule="auto"/>
        <w:ind w:left="0" w:right="0"/>
        <w:jc w:val="left"/>
      </w:pPr>
      <w:r>
        <w:rPr>
          <w:color w:val="000000"/>
          <w:sz w:val="24"/>
          <w:szCs w:val="24"/>
        </w:rPr>
        <w:t xml:space="preserve">Bevezetés: Az akut iszkémiás stroke (AIS) betegek közel 50%-nál tartós féloldali bénulás lép fel, amely immobilizációhoz, izomsorvadáshoz vezet. A megfelelő korai mobilizáció, gyógytorna azonban csak korlátozott időben érhető el a kórházakban, klinikákon. Az immobilizáció miatt megsérül a vázizom és az agy közötti kommunikációs tengely, amely súlyosbíthatja az AIS kimenetelét. Kísérleteink célja a vázizmok mobilizációja és az AIS kimenetelének javítása alsó végtagi elektromos izomstimulációval (EMS) egereken.</w:t>
      </w:r>
    </w:p>
    <w:p>
      <w:pPr>
        <w:widowControl w:val="on"/>
        <w:pBdr/>
        <w:spacing w:before="240" w:after="240" w:line="240" w:lineRule="auto"/>
        <w:ind w:left="0" w:right="0"/>
        <w:jc w:val="left"/>
      </w:pPr>
      <w:r>
        <w:rPr>
          <w:color w:val="000000"/>
          <w:sz w:val="24"/>
          <w:szCs w:val="24"/>
        </w:rPr>
        <w:t xml:space="preserve">Módszerek: Kísérleteinket izofluránnal (0,8-1%) altatott, 9-16 hetes, nőstény és hím (n=22) C57BL/6 egereken végeztük. AIS-t tranziens (60 perc) arteria cerebri media okklúzióval indukáltunk, majd teljes reperfúziót hoztunk létre. A szenzorimotoros deficit megítéléséhez az AIS-t követő 72 óra túlélés során az állatokat naponta teszteltük a Garcia Neuroscore Scale (maximum: 21 pont) alapján. Az egereket naponta kezeltük EMS terápiával (2x15 perc, 4Hz). Három nap elteltével az infarktus méretét TTC festéssel ellenőriztük. A musculus quadriceps izolálása után RT-PCR-rel mRNS expressziót vizsgáltunk.</w:t>
      </w:r>
    </w:p>
    <w:p>
      <w:pPr>
        <w:widowControl w:val="on"/>
        <w:pBdr/>
        <w:spacing w:before="240" w:after="240" w:line="240" w:lineRule="auto"/>
        <w:ind w:left="0" w:right="0"/>
        <w:jc w:val="left"/>
      </w:pPr>
      <w:r>
        <w:rPr>
          <w:color w:val="000000"/>
          <w:sz w:val="24"/>
          <w:szCs w:val="24"/>
        </w:rPr>
        <w:t xml:space="preserve">Eredmények: Az EMS terápiával kezelt állatoknál 72 óra elteltével jelentősen lecsökkent a neurológiai deficit mértéke (EMS stroke vs. stroke; 15±2 vs. 12±3 pont). Emellett az EMS terápia hatására mérséklődött az infarktussal érintett agyszövet mérete (EMS stroke vs. stroke; 29,6±12,1 vs. 45,1±10,6 %). Az izolált preparátumokban megfigyeltük egyes miokinek</w:t>
      </w:r>
      <w:r>
        <w:rPr>
          <w:color w:val="000000"/>
          <w:sz w:val="24"/>
          <w:szCs w:val="24"/>
        </w:rPr>
        <w:br/>
        <w:t xml:space="preserve">(myonectin, Mstn) és hsp-k (hsp25, hsp70) mRNS expressziójának változását is az EMS terápia után.</w:t>
      </w:r>
    </w:p>
    <w:p>
      <w:pPr>
        <w:widowControl w:val="on"/>
        <w:pBdr/>
        <w:spacing w:before="240" w:after="240" w:line="240" w:lineRule="auto"/>
        <w:ind w:left="0" w:right="0"/>
        <w:jc w:val="left"/>
      </w:pPr>
      <w:r>
        <w:rPr>
          <w:color w:val="000000"/>
          <w:sz w:val="24"/>
          <w:szCs w:val="24"/>
        </w:rPr>
        <w:t xml:space="preserve">Megbeszélés: Eredményeink alapján az EMS terápia neuroprotektív hatást gyakorol az AIS állatmodelljében. Ennek mechanizmusa egyelőre tisztázatlan, további kísérleteinkben multiplex vérszérum proteomikát és az agyi perfúzió multimodális vizsgálatát tervezzük. Jövőbeli terveink között szerepel az EMS terápia transzlációja az AIS gyógyászatába.</w:t>
      </w:r>
    </w:p>
    <w:p>
      <w:pPr>
        <w:widowControl w:val="on"/>
        <w:pBdr/>
        <w:spacing w:before="240" w:after="240" w:line="240" w:lineRule="auto"/>
        <w:ind w:left="0" w:right="0"/>
        <w:jc w:val="left"/>
      </w:pPr>
      <w:r>
        <w:rPr>
          <w:color w:val="000000"/>
          <w:sz w:val="24"/>
          <w:szCs w:val="24"/>
        </w:rPr>
        <w:t xml:space="preserve">Támogatók: EU H2020-HCEMM (No. 739593), NKFIH (No. K134377, FK142218, TKP2021- EGA-28), Nemzeti Agykutatási Program 3.0, SZAOK Kari Kutatási Alap – SZAOK-SZBK Kollaborációs Pályázat (SZTE SZAOK-KKA No:2024/5S777 A202), EKÖP-24-2 - SZTE-297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15018">
    <w:multiLevelType w:val="hybridMultilevel"/>
    <w:lvl w:ilvl="0" w:tplc="34333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15018">
    <w:abstractNumId w:val="98915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447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