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PASKUJ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paskujbeni@gmail.com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Baczkó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Hornyik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SGLT2 inhibitorok szívelektrofiziológiai hatásának vizsgálata humán és kutya preparátumokon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Arrhythmia; SGLT2 inhibitorok; Szívelektrofiziológia; Szívelégtelenség; Nátrium csatorna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2020-as évek kezdete óta számos nagy elemszámú klinikai vizsgálat</w:t>
      </w:r>
      <w:r>
        <w:rPr>
          <w:color w:val="000000"/>
          <w:sz w:val="24"/>
          <w:szCs w:val="24"/>
        </w:rPr>
        <w:br/>
        <w:t xml:space="preserve">számolt be az eredetileg antidiabetikus gyógyszerként alkalmazott nátrium-glükóz</w:t>
      </w:r>
      <w:r>
        <w:rPr>
          <w:color w:val="000000"/>
          <w:sz w:val="24"/>
          <w:szCs w:val="24"/>
        </w:rPr>
        <w:br/>
        <w:t xml:space="preserve">kotranszporter 2 inhibitorok (SGLT2i) kardioprotektív hatásáról, a diabetes jelenlététől</w:t>
      </w:r>
      <w:r>
        <w:rPr>
          <w:color w:val="000000"/>
          <w:sz w:val="24"/>
          <w:szCs w:val="24"/>
        </w:rPr>
        <w:br/>
        <w:t xml:space="preserve">függetlenül. Az SGLT2i-k képesek voltak javítani a krónikus szívelégtelenség (CHF)</w:t>
      </w:r>
      <w:r>
        <w:rPr>
          <w:color w:val="000000"/>
          <w:sz w:val="24"/>
          <w:szCs w:val="24"/>
        </w:rPr>
        <w:br/>
        <w:t xml:space="preserve">és a pitvarfibrilláció klinikai kimenetelét, továbbá csökkenteni a hirtelen szívhalál</w:t>
      </w:r>
      <w:r>
        <w:rPr>
          <w:color w:val="000000"/>
          <w:sz w:val="24"/>
          <w:szCs w:val="24"/>
        </w:rPr>
        <w:br/>
        <w:t xml:space="preserve">kockázatát. Azonban az SGLT2i kimagasló kardioprotektív, például antiaritmiás</w:t>
      </w:r>
      <w:r>
        <w:rPr>
          <w:color w:val="000000"/>
          <w:sz w:val="24"/>
          <w:szCs w:val="24"/>
        </w:rPr>
        <w:br/>
        <w:t xml:space="preserve">hatása mögött rejlő hatásmechanizmusok meglepően tisztázatlanok és</w:t>
      </w:r>
      <w:r>
        <w:rPr>
          <w:color w:val="000000"/>
          <w:sz w:val="24"/>
          <w:szCs w:val="24"/>
        </w:rPr>
        <w:br/>
        <w:t xml:space="preserve">ellentmondásosak. Célunk két SGLT2i, az Empagliflozin (EMPA) és a Dapagliflozin</w:t>
      </w:r>
      <w:r>
        <w:rPr>
          <w:color w:val="000000"/>
          <w:sz w:val="24"/>
          <w:szCs w:val="24"/>
        </w:rPr>
        <w:br/>
        <w:t xml:space="preserve">(DAPA) lehetséges szívelektrofiziológiai hatásainak vizsgálata volt.</w:t>
      </w:r>
      <w:r>
        <w:rPr>
          <w:color w:val="000000"/>
          <w:sz w:val="24"/>
          <w:szCs w:val="24"/>
        </w:rPr>
        <w:br/>
        <w:br/>
        <w:t xml:space="preserve">Módszerek: A kísérletek során explantált szívelégtelen humán mintákat és</w:t>
      </w:r>
      <w:r>
        <w:rPr>
          <w:color w:val="000000"/>
          <w:sz w:val="24"/>
          <w:szCs w:val="24"/>
        </w:rPr>
        <w:br/>
        <w:t xml:space="preserve">egészséges Beagle kutyákból izolált szívizom preparátumokat használtunk. Az</w:t>
      </w:r>
      <w:r>
        <w:rPr>
          <w:color w:val="000000"/>
          <w:sz w:val="24"/>
          <w:szCs w:val="24"/>
        </w:rPr>
        <w:br/>
        <w:t xml:space="preserve">akciós potenciálokat (AP) konvencionális mikroelektród technikával rögzítettük és a</w:t>
      </w:r>
      <w:r>
        <w:rPr>
          <w:color w:val="000000"/>
          <w:sz w:val="24"/>
          <w:szCs w:val="24"/>
        </w:rPr>
        <w:br/>
        <w:t xml:space="preserve">két hatóanyag lehetséges frekvenciafüggő hatását is vizsgáltuk.</w:t>
      </w:r>
      <w:r>
        <w:rPr>
          <w:color w:val="000000"/>
          <w:sz w:val="24"/>
          <w:szCs w:val="24"/>
        </w:rPr>
        <w:br/>
        <w:br/>
        <w:t xml:space="preserve">Eredmények: Az EMPA 1µM és 3µM koncentrációja a kontrollhoz képest kutya</w:t>
      </w:r>
      <w:r>
        <w:rPr>
          <w:color w:val="000000"/>
          <w:sz w:val="24"/>
          <w:szCs w:val="24"/>
        </w:rPr>
        <w:br/>
        <w:t xml:space="preserve">preparátumon szignifikánsan (p&lt;0.05) növelte a depolarizáció meredekségét</w:t>
      </w:r>
      <w:r>
        <w:rPr>
          <w:color w:val="000000"/>
          <w:sz w:val="24"/>
          <w:szCs w:val="24"/>
        </w:rPr>
        <w:br/>
        <w:t xml:space="preserve">(166.5±14.5V/s vs. 194.5±15.7V/s és 207±15.5V/s, n=9) és az AP amplitúdóját</w:t>
      </w:r>
      <w:r>
        <w:rPr>
          <w:color w:val="000000"/>
          <w:sz w:val="24"/>
          <w:szCs w:val="24"/>
        </w:rPr>
        <w:br/>
        <w:t xml:space="preserve">(115.1±3.1mV vs. 118.9±3mV és 122.1±2.7mV, n=9), miközben csökkentette a</w:t>
      </w:r>
      <w:r>
        <w:rPr>
          <w:color w:val="000000"/>
          <w:sz w:val="24"/>
          <w:szCs w:val="24"/>
        </w:rPr>
        <w:br/>
        <w:t xml:space="preserve">szövetben a vezetéshez szükséges időt (6.49±1.35ms vs. 6.19±1.41ms és</w:t>
      </w:r>
      <w:r>
        <w:rPr>
          <w:color w:val="000000"/>
          <w:sz w:val="24"/>
          <w:szCs w:val="24"/>
        </w:rPr>
        <w:br/>
        <w:t xml:space="preserve">5.94±1.36ms, n=7) és enyhén megnövelte az AP időtartamát (219.5±4,9ms vs.</w:t>
      </w:r>
      <w:r>
        <w:rPr>
          <w:color w:val="000000"/>
          <w:sz w:val="24"/>
          <w:szCs w:val="24"/>
        </w:rPr>
        <w:br/>
        <w:t xml:space="preserve">226.2±4.1ms és 225.6±6,1ms, n=12), amely magasabb frekvenciákon kifejezettebb</w:t>
      </w:r>
      <w:r>
        <w:rPr>
          <w:color w:val="000000"/>
          <w:sz w:val="24"/>
          <w:szCs w:val="24"/>
        </w:rPr>
        <w:br/>
        <w:t xml:space="preserve">volt. A szívelégtelen humán mintákon hasonló tendenciák mutatkoztak, azonban a</w:t>
      </w:r>
      <w:r>
        <w:rPr>
          <w:color w:val="000000"/>
          <w:sz w:val="24"/>
          <w:szCs w:val="24"/>
        </w:rPr>
        <w:br/>
        <w:t xml:space="preserve">különbségek nem bizonyultak szignifikánsnak. A 1µM és 10µM DAPA esetében sem</w:t>
      </w:r>
      <w:r>
        <w:rPr>
          <w:color w:val="000000"/>
          <w:sz w:val="24"/>
          <w:szCs w:val="24"/>
        </w:rPr>
        <w:br/>
        <w:t xml:space="preserve">a kutya, sem a humán mintákon nem találtunk szignifikáns eltérést.</w:t>
      </w:r>
      <w:r>
        <w:rPr>
          <w:color w:val="000000"/>
          <w:sz w:val="24"/>
          <w:szCs w:val="24"/>
        </w:rPr>
        <w:br/>
        <w:br/>
        <w:t xml:space="preserve">Megbeszélés: Az EMPA esetében tapasztalt változások a hatóanyag csúcs nátrium</w:t>
      </w:r>
      <w:r>
        <w:rPr>
          <w:color w:val="000000"/>
          <w:sz w:val="24"/>
          <w:szCs w:val="24"/>
        </w:rPr>
        <w:br/>
        <w:t xml:space="preserve">áramra gyakorolt aktivátor hatását jelezhetik, amely teoretikusan hozzájárulhat a</w:t>
      </w:r>
      <w:r>
        <w:rPr>
          <w:color w:val="000000"/>
          <w:sz w:val="24"/>
          <w:szCs w:val="24"/>
        </w:rPr>
        <w:br/>
        <w:t xml:space="preserve">leromlott elektromos ingervezetés javításához szívelégtelenségben. Az EMPA és</w:t>
      </w:r>
      <w:r>
        <w:rPr>
          <w:color w:val="000000"/>
          <w:sz w:val="24"/>
          <w:szCs w:val="24"/>
        </w:rPr>
        <w:br/>
        <w:t xml:space="preserve">DAPA feltehetően különböző szívelektrofiziológiai hatással rendelkezhet jelen</w:t>
      </w:r>
      <w:r>
        <w:rPr>
          <w:color w:val="000000"/>
          <w:sz w:val="24"/>
          <w:szCs w:val="24"/>
        </w:rPr>
        <w:br/>
        <w:t xml:space="preserve">eredményeink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76639">
    <w:multiLevelType w:val="hybridMultilevel"/>
    <w:lvl w:ilvl="0" w:tplc="28889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76639">
    <w:abstractNumId w:val="78176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928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