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BENCE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bencehuszr@gmail.com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Ruzsa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krónikus totális okklúzió rekanalizáció sikerének és az iniciális bal kamra funkciónak az egy éves klinikai kimenetre kifejtett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kardiológia; CTO; PCI; MACE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Cél: Tudományos munkánk célja az volt, hogy a koronária krónikus</w:t>
      </w:r>
      <w:r>
        <w:rPr>
          <w:color w:val="000000"/>
          <w:sz w:val="24"/>
          <w:szCs w:val="24"/>
        </w:rPr>
        <w:br/>
        <w:t xml:space="preserve">totális okklúzió (CTO) egy éves klinkai kimenetelét mennyire befolyásolta</w:t>
      </w:r>
      <w:r>
        <w:rPr>
          <w:color w:val="000000"/>
          <w:sz w:val="24"/>
          <w:szCs w:val="24"/>
        </w:rPr>
        <w:br/>
        <w:t xml:space="preserve">a CTO-PCI sikere és az iniciális bal kamra funkció (EF).</w:t>
      </w:r>
      <w:r>
        <w:rPr>
          <w:color w:val="000000"/>
          <w:sz w:val="24"/>
          <w:szCs w:val="24"/>
        </w:rPr>
        <w:br/>
        <w:t xml:space="preserve">Módszer: 2021-2022 között elvégzett 220 krónikus totális</w:t>
      </w:r>
      <w:r>
        <w:rPr>
          <w:color w:val="000000"/>
          <w:sz w:val="24"/>
          <w:szCs w:val="24"/>
        </w:rPr>
        <w:br/>
        <w:t xml:space="preserve">okklúzió rekanalizációs beteget vontunk be prospektív vizsgálatunkba. A</w:t>
      </w:r>
      <w:r>
        <w:rPr>
          <w:color w:val="000000"/>
          <w:sz w:val="24"/>
          <w:szCs w:val="24"/>
        </w:rPr>
        <w:br/>
        <w:t xml:space="preserve">sikeres beavatkozást a sikeres stentelés jelentette, amikor nem maradt</w:t>
      </w:r>
      <w:r>
        <w:rPr>
          <w:color w:val="000000"/>
          <w:sz w:val="24"/>
          <w:szCs w:val="24"/>
        </w:rPr>
        <w:br/>
        <w:t xml:space="preserve">50%-nál nagyobb szűkület az érintett érben. A vizsgálati végpontok a major</w:t>
      </w:r>
      <w:r>
        <w:rPr>
          <w:color w:val="000000"/>
          <w:sz w:val="24"/>
          <w:szCs w:val="24"/>
        </w:rPr>
        <w:br/>
        <w:t xml:space="preserve">kardiális események (MACE) és a kardiális okból bekövetkezett halál</w:t>
      </w:r>
      <w:r>
        <w:rPr>
          <w:color w:val="000000"/>
          <w:sz w:val="24"/>
          <w:szCs w:val="24"/>
        </w:rPr>
        <w:br/>
        <w:t xml:space="preserve">voltak. Vizsgáltuk a CTO-PCI sikerét és az iniciális bal kamra funkciót.</w:t>
      </w:r>
      <w:r>
        <w:rPr>
          <w:color w:val="000000"/>
          <w:sz w:val="24"/>
          <w:szCs w:val="24"/>
        </w:rPr>
        <w:br/>
        <w:t xml:space="preserve">Eredmények: A két éves vizsgálati periódusban 220 komplex krónikus</w:t>
      </w:r>
      <w:r>
        <w:rPr>
          <w:color w:val="000000"/>
          <w:sz w:val="24"/>
          <w:szCs w:val="24"/>
        </w:rPr>
        <w:br/>
        <w:t xml:space="preserve">totális okklúziós eset perkután koronária intervencióját végeztük el. A</w:t>
      </w:r>
      <w:r>
        <w:rPr>
          <w:color w:val="000000"/>
          <w:sz w:val="24"/>
          <w:szCs w:val="24"/>
        </w:rPr>
        <w:br/>
        <w:t xml:space="preserve">betegek átlagéletkora 65.4 ± 9.8 év volt és 82.3%-a volt férfi. A CTO</w:t>
      </w:r>
      <w:r>
        <w:rPr>
          <w:color w:val="000000"/>
          <w:sz w:val="24"/>
          <w:szCs w:val="24"/>
        </w:rPr>
        <w:br/>
        <w:t xml:space="preserve">rekanalizáció sikerrátája 89.5%. Az egy éves kumulatív MACE 15.9%, míg a</w:t>
      </w:r>
      <w:r>
        <w:rPr>
          <w:color w:val="000000"/>
          <w:sz w:val="24"/>
          <w:szCs w:val="24"/>
        </w:rPr>
        <w:br/>
        <w:t xml:space="preserve">halálozás 1.4% volt. A sikeres és sikertelen CTO-PCI után az egy</w:t>
      </w:r>
      <w:r>
        <w:rPr>
          <w:color w:val="000000"/>
          <w:sz w:val="24"/>
          <w:szCs w:val="24"/>
        </w:rPr>
        <w:br/>
        <w:t xml:space="preserve">éves MACE 15.22% vs 21.7% (p=ns), míg a mortalitás 1% vs 4.3% volt</w:t>
      </w:r>
      <w:r>
        <w:rPr>
          <w:color w:val="000000"/>
          <w:sz w:val="24"/>
          <w:szCs w:val="24"/>
        </w:rPr>
        <w:br/>
        <w:t xml:space="preserve">(p=ns). A mortalitás tendenciája sikertelen CTO-PCI esetén magasabb</w:t>
      </w:r>
      <w:r>
        <w:rPr>
          <w:color w:val="000000"/>
          <w:sz w:val="24"/>
          <w:szCs w:val="24"/>
        </w:rPr>
        <w:br/>
        <w:t xml:space="preserve">volt. Az alacsony, közepes és normális EF esetén az egy éves MACE 10%</w:t>
      </w:r>
      <w:r>
        <w:rPr>
          <w:color w:val="000000"/>
          <w:sz w:val="24"/>
          <w:szCs w:val="24"/>
        </w:rPr>
        <w:br/>
        <w:t xml:space="preserve">vs 20% vs 15.2%-ban (p=ns), míg halálozás 0% vs 2.2% vs 1.4%-ban fordult</w:t>
      </w:r>
      <w:r>
        <w:rPr>
          <w:color w:val="000000"/>
          <w:sz w:val="24"/>
          <w:szCs w:val="24"/>
        </w:rPr>
        <w:br/>
        <w:t xml:space="preserve">elő (p=ns).</w:t>
      </w:r>
      <w:r>
        <w:rPr>
          <w:color w:val="000000"/>
          <w:sz w:val="24"/>
          <w:szCs w:val="24"/>
        </w:rPr>
        <w:br/>
        <w:t xml:space="preserve">Konklúzió: A transradialis CTO-PCI egy éves MACE előfordulása magas,</w:t>
      </w:r>
      <w:r>
        <w:rPr>
          <w:color w:val="000000"/>
          <w:sz w:val="24"/>
          <w:szCs w:val="24"/>
        </w:rPr>
        <w:br/>
        <w:t xml:space="preserve">míg halálozása alacsony. A halálozást és a MACE-t a CTO-PCI sikere és az</w:t>
      </w:r>
      <w:r>
        <w:rPr>
          <w:color w:val="000000"/>
          <w:sz w:val="24"/>
          <w:szCs w:val="24"/>
        </w:rPr>
        <w:br/>
        <w:t xml:space="preserve">iniciális bal kamra funkció szignifikánsan nem befolyásolta</w:t>
      </w:r>
      <w:r>
        <w:rPr>
          <w:color w:val="000000"/>
          <w:sz w:val="24"/>
          <w:szCs w:val="24"/>
        </w:rPr>
        <w:br/>
        <w:t xml:space="preserve">betegcsoportunkban.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67540">
    <w:multiLevelType w:val="hybridMultilevel"/>
    <w:lvl w:ilvl="0" w:tplc="68494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67540">
    <w:abstractNumId w:val="919675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1060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