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VETTORAZZI</w:t>
            </w:r>
          </w:p>
          <w:p w:rsidR="00C275A3" w:rsidRDefault="00CA6B74" w:rsidP="00C275A3">
            <w:pPr>
              <w:pStyle w:val="Hallgatokepzes"/>
            </w:pPr>
            <w:r w:rsidRPr="001067CD">
              <w:rPr>
                <w:i/>
              </w:rPr>
              <w:t>vettorazzi.klaudia@gmail.com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Andrea Domokos</w:t>
            </w:r>
          </w:p>
          <w:p w:rsidR="00DB4822" w:rsidRDefault="00DB4822" w:rsidP="00BA6BAF">
            <w:pPr>
              <w:pStyle w:val="Konzulensektitulus"/>
            </w:pPr>
            <w:r w:rsidRPr="00DB4822">
              <w:t>professor, KRE ÁJK</w:t>
            </w:r>
          </w:p>
        </w:tc>
      </w:tr>
      <w:tr w:rsidR="00DB4822" w:rsidTr="00DB4822">
        <w:tc>
          <w:tcPr>
            <w:tcW w:w="9854" w:type="dxa"/>
          </w:tcPr>
          <w:p w:rsidR="00DB4822" w:rsidRPr="00DB4822" w:rsidRDefault="00DB4822" w:rsidP="00BA6BAF">
            <w:pPr>
              <w:pStyle w:val="Konzulenseknev"/>
            </w:pPr>
            <w:r w:rsidRPr="00DB4822">
              <w:t>Dr. Renáta Garai</w:t>
            </w:r>
          </w:p>
          <w:p w:rsidR="00DB4822" w:rsidRDefault="00DB4822" w:rsidP="00BA6BAF">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Search of Masterpieces – The Difficulties and Criminal Psychology Issues of Detecting Sexual and Moral Crimes Against Children in the 21st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sexual abuse, childporn, criminal psychology, child support</w:t>
      </w:r>
      <w:r>
        <w:t xml:space="preserve"/>
      </w:r>
    </w:p>
    <w:p>
      <w:pPr>
        <w:widowControl w:val="on"/>
        <w:pBdr/>
        <w:spacing w:before="240" w:after="240" w:line="240" w:lineRule="auto"/>
        <w:ind w:left="0" w:right="0"/>
        <w:jc w:val="left"/>
      </w:pPr>
      <w:r>
        <w:rPr>
          <w:color w:val="000000"/>
          <w:sz w:val="24"/>
          <w:szCs w:val="24"/>
        </w:rPr>
        <w:t xml:space="preserve">Over the years, the mental health of minors has begun to deteriorate rapidly. “As a result,” the situation is increasingly being exploited by perpetrators to commit crimes against sexual life or sexual morality against injured minors, which raises particularly sensitive and complex legal issues. When proving crimes against sexual life and morality, the investigating authorities have to deal with several previously unrecognized difficulties, as the protection and rights of minors must be taken into account. In general, it can be stated that minor victims often struggle with psychological trauma, which makes it more difficult for them to tell what happened to them. In addition to trauma, communication skills in children are influenced by age, developmental level, and social and emotional environment, and thus also by the means they use to communicate events and how they interpret the act.</w:t>
      </w:r>
    </w:p>
    <w:p>
      <w:pPr>
        <w:widowControl w:val="on"/>
        <w:pBdr/>
        <w:spacing w:before="240" w:after="240" w:line="240" w:lineRule="auto"/>
        <w:ind w:left="0" w:right="0"/>
        <w:jc w:val="left"/>
      </w:pPr>
      <w:r>
        <w:rPr>
          <w:color w:val="000000"/>
          <w:sz w:val="24"/>
          <w:szCs w:val="24"/>
        </w:rPr>
        <w:br/>
        <w:t xml:space="preserve">In my thesis, I examined the family and social background behind sexual violence and child pornography in the context of sexual crimes against minors, as my hypothesis is that perpetrators often grow up in families where the background typical of general perpetrators appears, such as abuse, alcoholism, or social problems, which makes them more likely to become aggressive or manipulative. I examined the psychological state of children (victims), as perpetrators usually achieve their requests covertly, through manipulation, so that children do not tell anyone about what happened, or if they do, they will do much worse to the children. During the research, I studied the consequences of sexual abuse for the victims, examined the errors of criminal procedure and social perception, and based on the conclusions that can be drawn from these, I created my de lege ferenda proposals.</w:t>
      </w:r>
    </w:p>
    <w:p>
      <w:pPr>
        <w:widowControl w:val="on"/>
        <w:pBdr/>
        <w:spacing w:before="240" w:after="240" w:line="240" w:lineRule="auto"/>
        <w:ind w:left="0" w:right="0"/>
        <w:jc w:val="left"/>
      </w:pPr>
      <w:r>
        <w:rPr>
          <w:color w:val="000000"/>
          <w:sz w:val="24"/>
          <w:szCs w:val="24"/>
        </w:rPr>
        <w:br/>
        <w:t xml:space="preserve">During my research, based on the permission of the President of the Budapest District Court (which applies to cases that have become final by July 17, 2024), I reviewed 28 cases from 2017 to July 17, 2024.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59181">
    <w:multiLevelType w:val="hybridMultilevel"/>
    <w:lvl w:ilvl="0" w:tplc="94205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59181">
    <w:abstractNumId w:val="32559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140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