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JESSICA SEETGE</w:t>
            </w:r>
          </w:p>
          <w:p w:rsidR="00C275A3" w:rsidRDefault="00CA6B74" w:rsidP="00C275A3">
            <w:pPr>
              <w:pStyle w:val="Hallgatokepzes"/>
            </w:pPr>
            <w:r w:rsidRPr="001067CD">
              <w:rPr>
                <w:i/>
              </w:rPr>
              <w:t>j.seetge@gmx.de</w:t>
            </w:r>
            <w:r w:rsidRPr="001067CD">
              <w:rPr>
                <w:i/>
              </w:rPr>
              <w:br/>
            </w:r>
            <w:r w:rsidR="00A96AEC">
              <w:t>Általános Orvostudomány</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Professor László Szapáry</w:t>
            </w:r>
          </w:p>
          <w:p w:rsidR="00DB4822" w:rsidRDefault="00DB4822" w:rsidP="00BA6BAF">
            <w:pPr>
              <w:pStyle w:val="Konzulensektitulus"/>
            </w:pPr>
            <w:r w:rsidRPr="00DB4822">
              <w:t>egyetemi tanár,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rekanalizációs terápia kihívásai DOAC-kal antikoagulált akut stroke-os betegekben.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akut ischaemiás stroke; orális antikoagulánsok; 90 napos mRS; halálozás; propensity score matching</w:t>
      </w:r>
      <w:r>
        <w:t xml:space="preserve"/>
      </w:r>
    </w:p>
    <w:p>
      <w:pPr>
        <w:widowControl w:val="on"/>
        <w:pBdr/>
        <w:spacing w:before="240" w:after="240" w:line="240" w:lineRule="auto"/>
        <w:ind w:left="0" w:right="0"/>
        <w:jc w:val="left"/>
      </w:pPr>
      <w:r>
        <w:rPr>
          <w:color w:val="000000"/>
          <w:sz w:val="24"/>
          <w:szCs w:val="24"/>
        </w:rPr>
        <w:t xml:space="preserve">Background: The management of acute ischemic stroke (AIS) in anticoagulated patients presents a clinical challenge, as concerns about safety and efficacy often limit access to recanalization therapies. Despite the widespread use of direct oral anticoagulants (DOACs) and vitamin K antagonists (VKAs), their impact on functional recovery and mortality following intravenous thrombolysis (IVT) and mechanical thrombectomy (MT) remains uncertain. Therefore, this study investigates the association between prior anticoagulation and 90-day outcomes in AIS patients undergoing reperfusion therapy.</w:t>
      </w:r>
    </w:p>
    <w:p>
      <w:pPr>
        <w:widowControl w:val="on"/>
        <w:pBdr/>
        <w:spacing w:before="240" w:after="240" w:line="240" w:lineRule="auto"/>
        <w:ind w:left="0" w:right="0"/>
        <w:jc w:val="left"/>
      </w:pPr>
      <w:r>
        <w:rPr>
          <w:color w:val="000000"/>
          <w:sz w:val="24"/>
          <w:szCs w:val="24"/>
        </w:rPr>
        <w:t xml:space="preserve">Methods: We conducted a retrospective cohort analysis using the TINL STROKE-registry, including AIS patients admitted to the Department of Neurology, University of Pécs, between February 2023 and 2025. Anticoagulated patients were 1:1 propensity score-matched with non-anticoagulated controls (n=126 per group) using Mahalanobis distance matching with a caliper, adjusting for age, sex, hypertension, diabetes, stroke severity (National Institutes of Health Stroke Scale [NIHSS] at admission and 72 hours), and pre-stroke functional status (pre-morbid modified Rankin Scale [pre-mRS]). Primary endpoints at 90 days were functional independence (mRS≤2), mRS-shift, and mortality (mRS=6). Predictors of outcome were assessed using multivariable logistic regression and generalized additive models (GAM). Subgroup analyses evaluated the effects of anticoagulation type and treatment modality.</w:t>
      </w:r>
    </w:p>
    <w:p>
      <w:pPr>
        <w:widowControl w:val="on"/>
        <w:pBdr/>
        <w:spacing w:before="240" w:after="240" w:line="240" w:lineRule="auto"/>
        <w:ind w:left="0" w:right="0"/>
        <w:jc w:val="left"/>
      </w:pPr>
      <w:r>
        <w:rPr>
          <w:color w:val="000000"/>
          <w:sz w:val="24"/>
          <w:szCs w:val="24"/>
        </w:rPr>
        <w:t xml:space="preserve">Results: Among 866 AIS patients (DOAC n=100, VKA n=48, non-anticoagulated n=718), 426 (49.2%) underwent reperfusion therapy (IVT n=195, MT n=163, IVT+MT n=68). Before matching, anticoagulated patients were less likely to achieve functional independence (34.5% vs. 52.1%, OR=0.48, 95% CI [0.33–0.70], p&lt;0.001), had a greater mRS-shift (2.53 vs. 1.79, p&lt;0.001), and higher mortality (30.4% vs. 14.5%, OR=2.58, 95% CI [1.72–3.88], p&lt;0.001). However, after matching, these differences were no longer statistically significant. NIHSS, 72hNIHSS, and pre-mRS were the strongest independent predictors of outcome (p&lt;0.001), while anticoagulation status had no significant effect.</w:t>
      </w:r>
    </w:p>
    <w:p>
      <w:pPr>
        <w:widowControl w:val="on"/>
        <w:pBdr/>
        <w:spacing w:before="240" w:after="240" w:line="240" w:lineRule="auto"/>
        <w:ind w:left="0" w:right="0"/>
        <w:jc w:val="left"/>
      </w:pPr>
      <w:r>
        <w:rPr>
          <w:color w:val="000000"/>
          <w:sz w:val="24"/>
          <w:szCs w:val="24"/>
        </w:rPr>
        <w:t xml:space="preserve">Conclusion: Recanalization therapy remains a safe and effective strategy for anticoagulated AIS patients, regardless of anticoagulation type or treatment modality, reinforcing that prior anticoagulation alone should not preclude recanalization therapy and highlighting the importance of individualized decision-making in acute stroke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39446">
    <w:multiLevelType w:val="hybridMultilevel"/>
    <w:lvl w:ilvl="0" w:tplc="93471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39446">
    <w:abstractNumId w:val="23739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298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