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VITÉZ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vitezanna2000@gmail.com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Bencze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radiológus szakorvos,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főorvos, klinikaigazgató helyettes,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ADC érték és a kontrasztanyag halmozási dinamika prediktív értéke a malignus emlő térfoglalások miatt végzett emlő MR vizsgálatokon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radiológia, MR, emlődiagnosztika, malignitás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malignus emlőtumor a nők leggyakoribb daganatos megbetegedése. A multiparametrikus emlő MR vizsgálatok kiemelt fontossággal bírnak a tumoros és a malignitásra gyanús betegek diagnosztikus és kezelési tervében, képesek a hagyományos képalkotás során nem látható elváltozások kimutatására, valamint differenciáldiagnosztikai módszerként is alkalmazhatóak.</w:t>
      </w:r>
      <w:r>
        <w:rPr>
          <w:color w:val="000000"/>
          <w:sz w:val="24"/>
          <w:szCs w:val="24"/>
        </w:rPr>
        <w:br/>
        <w:t xml:space="preserve">CÉLKITŰZÉS: A kutatás célja, hogy megvizsgálja a multiparametrikus emlő MR vizsgálatokon mérhető kvantitatív faktorok prediktív értékét a malignus emlőtérfoglalások esetében.</w:t>
      </w:r>
      <w:r>
        <w:rPr>
          <w:color w:val="000000"/>
          <w:sz w:val="24"/>
          <w:szCs w:val="24"/>
        </w:rPr>
        <w:br/>
        <w:t xml:space="preserve">ANYAGOK ÉS MÓDSZEREK: Vizsgálatunk során a PTE KK Orvosi Képalkotó Klinika GE Optima 450W 1.5 T készülékén végzett kontrasztanyagos emlő MR vizsgálatok leleteit retrospektíven tekintettük át a 2023.01.02.-2023.07.31. időszakból. A malignus emlő térfoglalások kontrasztanyaghalmozási dinamika-görbéjét, valamint a diffúziógátlás mértékét (ADC value, mm2/s) MedView és GE AWS (Dicom) leletező programokban mértük. Az adatokat felhasználva SPSS programban ANOVA tesztet, független mintás t-próbát és keresztttáblát alkalmazva statisztikai analízist végeztünk.</w:t>
      </w:r>
      <w:r>
        <w:rPr>
          <w:color w:val="000000"/>
          <w:sz w:val="24"/>
          <w:szCs w:val="24"/>
        </w:rPr>
        <w:br/>
        <w:t xml:space="preserve">EREDMÉNYEK: Az áttekintett periódusban végzett vizsgálatok közül 133 kontrasztanyagos emlő MR vizsgálat készült malignitás irányú differenciáldiagnosztikai indikációval, melyek közül 101 nőbeteg összesen 104 emlőelváltozása felelt meg a beválasztási kritériumainknak. A vizsgált populációban a leggyakoribb, ductalis- és lobularis carcinomák mellett kis százalékban egyéb ritkább típusú malignus emlőtérfoglalások is előfordultak. 12%-ban Grade I, 45%-ban Grade II, 39 %-ban Grade III malignitások fordultak elő. Statisztikai számításaink eredményeként arra következtethetünk, hogy mind az ADC átlagértékek, mind pedig a kontrasztanyaghalmozási dinamika-görbék lefutása korrelálnak a patológiai szövettani minta alapján leírt diagnózissal.</w:t>
      </w:r>
      <w:r>
        <w:rPr>
          <w:color w:val="000000"/>
          <w:sz w:val="24"/>
          <w:szCs w:val="24"/>
        </w:rPr>
        <w:br/>
        <w:t xml:space="preserve">KÖVETKEZTETÉS: Eredményeink potenciálisan hozzájárulhatnak az MR által vizsgált térfoglalások további karakterizálásához, azok esetleges többgócúsága vagy bilaterlalitása esetén, segíthetik az emlő onkoteam munkáját, javítva ezzel a páciensek terápiás tervének hatékonyabb felállítását.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82434">
    <w:multiLevelType w:val="hybridMultilevel"/>
    <w:lvl w:ilvl="0" w:tplc="15256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82434">
    <w:abstractNumId w:val="15182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780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