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RIKLI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riklipanna@gmail.com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Molnár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Bokor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 vitro fertilizáció hatása Dns-metilációs mintázatra az utódokban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megtermékenyítés; DNS-metiláció; epigenetikai mintázat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in vitro fertilizáció (IVF) során alkalmazott embriomanipulációk</w:t>
      </w:r>
      <w:r>
        <w:rPr>
          <w:color w:val="000000"/>
          <w:sz w:val="24"/>
          <w:szCs w:val="24"/>
        </w:rPr>
        <w:br/>
        <w:t xml:space="preserve">befolyásolhatják az epigenetikai mintázatot, mivel ebben az időszakban zajlik a DNS</w:t>
      </w:r>
      <w:r>
        <w:rPr>
          <w:color w:val="000000"/>
          <w:sz w:val="24"/>
          <w:szCs w:val="24"/>
        </w:rPr>
        <w:br/>
        <w:t xml:space="preserve">demetilációja és remetilációja. Az ebből eredő epigenetikai változások hatással lehetnek a</w:t>
      </w:r>
      <w:r>
        <w:rPr>
          <w:color w:val="000000"/>
          <w:sz w:val="24"/>
          <w:szCs w:val="24"/>
        </w:rPr>
        <w:br/>
        <w:t xml:space="preserve">magzat fejlődésére és a gyermek hosszú távú egészségére.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Az IVF-el és spontán fogant újszülöttek DNS-metilációs mintázatának</w:t>
      </w:r>
      <w:r>
        <w:rPr>
          <w:color w:val="000000"/>
          <w:sz w:val="24"/>
          <w:szCs w:val="24"/>
        </w:rPr>
        <w:br/>
        <w:t xml:space="preserve">összehasonlítása, valamint a metilációs mintázat eltérései és az újszülöttek születési</w:t>
      </w:r>
      <w:r>
        <w:rPr>
          <w:color w:val="000000"/>
          <w:sz w:val="24"/>
          <w:szCs w:val="24"/>
        </w:rPr>
        <w:br/>
        <w:t xml:space="preserve">paraméterei közötti összefüggések feltárása.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Jelen vizsgálatban 16 IVF-fel és 16 spontán fogant újszülött nyálmintájából</w:t>
      </w:r>
      <w:r>
        <w:rPr>
          <w:color w:val="000000"/>
          <w:sz w:val="24"/>
          <w:szCs w:val="24"/>
        </w:rPr>
        <w:br/>
        <w:t xml:space="preserve">határoztuk meg a DNS-metilációs mintázatot Illumina iScan microarray technológiával. Az</w:t>
      </w:r>
      <w:r>
        <w:rPr>
          <w:color w:val="000000"/>
          <w:sz w:val="24"/>
          <w:szCs w:val="24"/>
        </w:rPr>
        <w:br/>
        <w:t xml:space="preserve">anyák terhesség előtti testparamétereit (testsúly, testmagasság) kérdőíves módszerrel</w:t>
      </w:r>
      <w:r>
        <w:rPr>
          <w:color w:val="000000"/>
          <w:sz w:val="24"/>
          <w:szCs w:val="24"/>
        </w:rPr>
        <w:br/>
        <w:t xml:space="preserve">gyűjtöttük. Az újszülötteknél a születést követően testsúlyt, testhosszúságot és</w:t>
      </w:r>
      <w:r>
        <w:rPr>
          <w:color w:val="000000"/>
          <w:sz w:val="24"/>
          <w:szCs w:val="24"/>
        </w:rPr>
        <w:br/>
        <w:t xml:space="preserve">derékkörfogatot mértünk. A két csoport közötti különbségek statisztikai elemzéséhez</w:t>
      </w:r>
      <w:r>
        <w:rPr>
          <w:color w:val="000000"/>
          <w:sz w:val="24"/>
          <w:szCs w:val="24"/>
        </w:rPr>
        <w:br/>
        <w:t xml:space="preserve">kétmintás t-próbát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Nem találtunk szignifikáns különbséget az anyák várandósság előtti</w:t>
      </w:r>
      <w:r>
        <w:rPr>
          <w:color w:val="000000"/>
          <w:sz w:val="24"/>
          <w:szCs w:val="24"/>
        </w:rPr>
        <w:br/>
        <w:t xml:space="preserve">testparaméterei és a szüléskor betöltött terhességi hetek között a két csoportban. Az IVF és</w:t>
      </w:r>
      <w:r>
        <w:rPr>
          <w:color w:val="000000"/>
          <w:sz w:val="24"/>
          <w:szCs w:val="24"/>
        </w:rPr>
        <w:br/>
        <w:t xml:space="preserve">spontán fogant újszülöttek között 2899 differenciálisan metilált CpG-helyet azonosítottunk</w:t>
      </w:r>
      <w:r>
        <w:rPr>
          <w:color w:val="000000"/>
          <w:sz w:val="24"/>
          <w:szCs w:val="24"/>
        </w:rPr>
        <w:br/>
        <w:t xml:space="preserve">(p&lt;0,01), amelyek 95%-a hipermetilált, míg 5%-a hipometilált volt az IVF csoportban.</w:t>
      </w:r>
      <w:r>
        <w:rPr>
          <w:color w:val="000000"/>
          <w:sz w:val="24"/>
          <w:szCs w:val="24"/>
        </w:rPr>
        <w:br/>
        <w:t xml:space="preserve">Szigorúbb statisztikai küszöb (p&lt;0,0001) alkalmazásával két gén (ANKRD13C, ZNF780B)</w:t>
      </w:r>
      <w:r>
        <w:rPr>
          <w:color w:val="000000"/>
          <w:sz w:val="24"/>
          <w:szCs w:val="24"/>
        </w:rPr>
        <w:br/>
        <w:t xml:space="preserve">promóter régiójában magasabb, míg kilenc gén (KCNQ4, PTPRG-AS1, ADGRA3, SLIT2,</w:t>
      </w:r>
      <w:r>
        <w:rPr>
          <w:color w:val="000000"/>
          <w:sz w:val="24"/>
          <w:szCs w:val="24"/>
        </w:rPr>
        <w:br/>
        <w:t xml:space="preserve">DMXL1, MAML2, TMEM132D, EDNRB-AS1, SRCIN1) promóter régiójában alacsonyabb</w:t>
      </w:r>
      <w:r>
        <w:rPr>
          <w:color w:val="000000"/>
          <w:sz w:val="24"/>
          <w:szCs w:val="24"/>
        </w:rPr>
        <w:br/>
        <w:t xml:space="preserve">metilációt detektáltunk az IVF csoportban. Az Ingenuity Pathway Analysis alapján ezek a</w:t>
      </w:r>
      <w:r>
        <w:rPr>
          <w:color w:val="000000"/>
          <w:sz w:val="24"/>
          <w:szCs w:val="24"/>
        </w:rPr>
        <w:br/>
        <w:t xml:space="preserve">gének fejlődési rendellenességek, anyagcsere-betegségek, neurológiai és kardiovaszkuláris</w:t>
      </w:r>
      <w:r>
        <w:rPr>
          <w:color w:val="000000"/>
          <w:sz w:val="24"/>
          <w:szCs w:val="24"/>
        </w:rPr>
        <w:br/>
        <w:t xml:space="preserve">megbetegedések, valamint daganatok kialakulásában játszanak szerepet. Az újszülöttek</w:t>
      </w:r>
      <w:r>
        <w:rPr>
          <w:color w:val="000000"/>
          <w:sz w:val="24"/>
          <w:szCs w:val="24"/>
        </w:rPr>
        <w:br/>
        <w:t xml:space="preserve">testparamétereiben nem mutatkozott szignifikáns különbség a két csoport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Eredményeink alapján az IVF eljárás befolyásolja az utódok DNS-metilációs</w:t>
      </w:r>
      <w:r>
        <w:rPr>
          <w:color w:val="000000"/>
          <w:sz w:val="24"/>
          <w:szCs w:val="24"/>
        </w:rPr>
        <w:br/>
        <w:t xml:space="preserve">mintázatát, azonban ezek az eltérések nem mutattak összefüggést az újszülöttek születési</w:t>
      </w:r>
      <w:r>
        <w:rPr>
          <w:color w:val="000000"/>
          <w:sz w:val="24"/>
          <w:szCs w:val="24"/>
        </w:rPr>
        <w:br/>
        <w:t xml:space="preserve">paramétereivel. A gyermekek további nyomonkövetése szükséges, ezen metilációs eltérések</w:t>
      </w:r>
      <w:r>
        <w:rPr>
          <w:color w:val="000000"/>
          <w:sz w:val="24"/>
          <w:szCs w:val="24"/>
        </w:rPr>
        <w:br/>
        <w:t xml:space="preserve">hosszútávú egészséget befolyásoló hatásának felmérése céljából.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10886">
    <w:multiLevelType w:val="hybridMultilevel"/>
    <w:lvl w:ilvl="0" w:tplc="48780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10886">
    <w:abstractNumId w:val="473108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751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